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0568" w14:textId="6875E214" w:rsidR="00965082" w:rsidRPr="00A35D08" w:rsidRDefault="00965082" w:rsidP="00965082">
      <w:pPr>
        <w:rPr>
          <w:rFonts w:ascii="AvantGarde" w:hAnsi="AvantGarde" w:cs="Arial"/>
          <w:b/>
          <w:sz w:val="22"/>
          <w:szCs w:val="22"/>
        </w:rPr>
      </w:pPr>
      <w:r w:rsidRPr="00A35D08">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34D6EBC4" wp14:editId="092195A0">
                <wp:simplePos x="0" y="0"/>
                <wp:positionH relativeFrom="column">
                  <wp:posOffset>5497195</wp:posOffset>
                </wp:positionH>
                <wp:positionV relativeFrom="paragraph">
                  <wp:posOffset>-71755</wp:posOffset>
                </wp:positionV>
                <wp:extent cx="970915" cy="440055"/>
                <wp:effectExtent l="1270" t="444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FFA0" w14:textId="5EE0A13C" w:rsidR="00965082" w:rsidRDefault="00965082" w:rsidP="00965082">
                            <w:r>
                              <w:rPr>
                                <w:noProof/>
                              </w:rPr>
                              <w:drawing>
                                <wp:inline distT="0" distB="0" distL="0" distR="0" wp14:anchorId="46D5FD16" wp14:editId="77825AC1">
                                  <wp:extent cx="78740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6EBC4" id="_x0000_t202" coordsize="21600,21600" o:spt="202" path="m,l,21600r21600,l21600,xe">
                <v:stroke joinstyle="miter"/>
                <v:path gradientshapeok="t" o:connecttype="rect"/>
              </v:shapetype>
              <v:shape id="Text Box 6" o:spid="_x0000_s1026" type="#_x0000_t202" style="position:absolute;margin-left:432.85pt;margin-top:-5.65pt;width:76.45pt;height:3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" filled="f" stroked="f">
                <v:textbox style="mso-fit-shape-to-text:t">
                  <w:txbxContent>
                    <w:p w14:paraId="1A5AFFA0" w14:textId="5EE0A13C" w:rsidR="00965082" w:rsidRDefault="00965082" w:rsidP="00965082">
                      <w:r>
                        <w:rPr>
                          <w:noProof/>
                        </w:rPr>
                        <w:drawing>
                          <wp:inline distT="0" distB="0" distL="0" distR="0" wp14:anchorId="46D5FD16" wp14:editId="77825AC1">
                            <wp:extent cx="78740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inline>
                        </w:drawing>
                      </w:r>
                    </w:p>
                  </w:txbxContent>
                </v:textbox>
              </v:shape>
            </w:pict>
          </mc:Fallback>
        </mc:AlternateContent>
      </w:r>
    </w:p>
    <w:p w14:paraId="7D8949D5" w14:textId="69633F9F" w:rsidR="00965082" w:rsidRPr="00A35D08" w:rsidRDefault="00965082" w:rsidP="00965082">
      <w:pPr>
        <w:rPr>
          <w:rFonts w:ascii="AvantGarde" w:hAnsi="AvantGarde" w:cs="Arial"/>
          <w:b/>
          <w:noProof/>
          <w:sz w:val="22"/>
          <w:szCs w:val="22"/>
        </w:rPr>
      </w:pPr>
      <w:r w:rsidRPr="00A35D0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341F9618" wp14:editId="22BDE0BC">
                <wp:simplePos x="0" y="0"/>
                <wp:positionH relativeFrom="column">
                  <wp:posOffset>3731895</wp:posOffset>
                </wp:positionH>
                <wp:positionV relativeFrom="paragraph">
                  <wp:posOffset>116840</wp:posOffset>
                </wp:positionV>
                <wp:extent cx="2727325" cy="216408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7B50" w14:textId="77777777" w:rsidR="00965082" w:rsidRPr="00D115EA" w:rsidRDefault="00965082" w:rsidP="00965082">
                            <w:pPr>
                              <w:jc w:val="right"/>
                              <w:rPr>
                                <w:rFonts w:ascii="Arial" w:hAnsi="Arial" w:cs="Arial"/>
                                <w:b/>
                                <w:sz w:val="24"/>
                                <w:szCs w:val="24"/>
                              </w:rPr>
                            </w:pPr>
                            <w:r w:rsidRPr="00D115EA">
                              <w:rPr>
                                <w:rFonts w:ascii="Arial" w:hAnsi="Arial" w:cs="Arial"/>
                                <w:b/>
                                <w:sz w:val="24"/>
                                <w:szCs w:val="24"/>
                              </w:rPr>
                              <w:t>Snohomish County</w:t>
                            </w:r>
                          </w:p>
                          <w:p w14:paraId="1596549A" w14:textId="77777777" w:rsidR="00965082" w:rsidRDefault="00965082" w:rsidP="00965082">
                            <w:pPr>
                              <w:spacing w:before="60"/>
                              <w:jc w:val="right"/>
                              <w:rPr>
                                <w:rFonts w:ascii="Arial" w:hAnsi="Arial" w:cs="Arial"/>
                                <w:b/>
                              </w:rPr>
                            </w:pPr>
                            <w:r>
                              <w:rPr>
                                <w:rFonts w:ascii="Arial" w:hAnsi="Arial" w:cs="Arial"/>
                                <w:b/>
                              </w:rPr>
                              <w:t>Prosecuting Attorney</w:t>
                            </w:r>
                          </w:p>
                          <w:p w14:paraId="433855B0" w14:textId="77777777" w:rsidR="00965082" w:rsidRDefault="00965082" w:rsidP="00965082">
                            <w:pPr>
                              <w:spacing w:before="60"/>
                              <w:jc w:val="right"/>
                              <w:rPr>
                                <w:rFonts w:ascii="Arial" w:hAnsi="Arial" w:cs="Arial"/>
                                <w:b/>
                              </w:rPr>
                            </w:pPr>
                            <w:r>
                              <w:rPr>
                                <w:rFonts w:ascii="Arial" w:hAnsi="Arial" w:cs="Arial"/>
                                <w:b/>
                              </w:rPr>
                              <w:t>Criminal Division</w:t>
                            </w:r>
                          </w:p>
                          <w:p w14:paraId="633C0E30" w14:textId="77777777" w:rsidR="00965082" w:rsidRDefault="00965082" w:rsidP="00965082">
                            <w:pPr>
                              <w:spacing w:before="60"/>
                              <w:jc w:val="right"/>
                              <w:rPr>
                                <w:rFonts w:ascii="Arial" w:hAnsi="Arial" w:cs="Arial"/>
                                <w:b/>
                              </w:rPr>
                            </w:pPr>
                          </w:p>
                          <w:p w14:paraId="11F92BB2" w14:textId="77777777" w:rsidR="00965082" w:rsidRPr="00FA78FD" w:rsidRDefault="00965082" w:rsidP="00965082">
                            <w:pPr>
                              <w:jc w:val="right"/>
                              <w:rPr>
                                <w:rFonts w:ascii="Arial" w:hAnsi="Arial" w:cs="Arial"/>
                                <w:b/>
                                <w:sz w:val="18"/>
                                <w:szCs w:val="18"/>
                              </w:rPr>
                            </w:pPr>
                            <w:r>
                              <w:rPr>
                                <w:rFonts w:ascii="Arial" w:hAnsi="Arial" w:cs="Arial"/>
                                <w:b/>
                                <w:sz w:val="18"/>
                                <w:szCs w:val="18"/>
                              </w:rPr>
                              <w:t>Adam Cornell</w:t>
                            </w:r>
                          </w:p>
                          <w:p w14:paraId="1F0E007E" w14:textId="77777777" w:rsidR="00965082" w:rsidRDefault="00965082" w:rsidP="00965082">
                            <w:pPr>
                              <w:jc w:val="right"/>
                              <w:rPr>
                                <w:rFonts w:ascii="Arial" w:hAnsi="Arial" w:cs="Arial"/>
                                <w:i/>
                                <w:sz w:val="18"/>
                                <w:szCs w:val="18"/>
                              </w:rPr>
                            </w:pPr>
                            <w:r>
                              <w:rPr>
                                <w:rFonts w:ascii="Arial" w:hAnsi="Arial" w:cs="Arial"/>
                                <w:i/>
                                <w:sz w:val="18"/>
                                <w:szCs w:val="18"/>
                              </w:rPr>
                              <w:t>Prosecuting Attorney</w:t>
                            </w:r>
                          </w:p>
                          <w:p w14:paraId="7735976B" w14:textId="77777777" w:rsidR="00965082" w:rsidRPr="00BE5273" w:rsidRDefault="00965082" w:rsidP="00965082">
                            <w:pPr>
                              <w:jc w:val="right"/>
                              <w:rPr>
                                <w:rFonts w:ascii="Arial" w:hAnsi="Arial" w:cs="Arial"/>
                                <w:b/>
                                <w:sz w:val="18"/>
                                <w:szCs w:val="18"/>
                              </w:rPr>
                            </w:pPr>
                            <w:r>
                              <w:rPr>
                                <w:rFonts w:ascii="Arial" w:hAnsi="Arial" w:cs="Arial"/>
                                <w:b/>
                                <w:sz w:val="18"/>
                                <w:szCs w:val="18"/>
                              </w:rPr>
                              <w:t>Matthew D. Baldock</w:t>
                            </w:r>
                          </w:p>
                          <w:p w14:paraId="5DFEE62B" w14:textId="77777777" w:rsidR="00965082" w:rsidRDefault="00965082" w:rsidP="00965082">
                            <w:pPr>
                              <w:jc w:val="right"/>
                              <w:rPr>
                                <w:rFonts w:ascii="Arial" w:hAnsi="Arial" w:cs="Arial"/>
                                <w:i/>
                                <w:sz w:val="18"/>
                                <w:szCs w:val="18"/>
                              </w:rPr>
                            </w:pPr>
                            <w:r>
                              <w:rPr>
                                <w:rFonts w:ascii="Arial" w:hAnsi="Arial" w:cs="Arial"/>
                                <w:i/>
                                <w:sz w:val="18"/>
                                <w:szCs w:val="18"/>
                              </w:rPr>
                              <w:t xml:space="preserve">Chief Deputy </w:t>
                            </w:r>
                          </w:p>
                          <w:p w14:paraId="16D0FB08" w14:textId="77777777" w:rsidR="00965082" w:rsidRDefault="00965082" w:rsidP="00965082">
                            <w:pPr>
                              <w:jc w:val="right"/>
                              <w:rPr>
                                <w:rFonts w:ascii="Arial" w:hAnsi="Arial" w:cs="Arial"/>
                                <w:i/>
                                <w:sz w:val="18"/>
                                <w:szCs w:val="18"/>
                              </w:rPr>
                            </w:pPr>
                          </w:p>
                          <w:p w14:paraId="6A3B1B99" w14:textId="77777777" w:rsidR="00965082" w:rsidRDefault="00965082" w:rsidP="00965082">
                            <w:pPr>
                              <w:jc w:val="right"/>
                              <w:rPr>
                                <w:rFonts w:ascii="Arial" w:hAnsi="Arial" w:cs="Arial"/>
                                <w:sz w:val="18"/>
                                <w:szCs w:val="18"/>
                              </w:rPr>
                            </w:pPr>
                            <w:r>
                              <w:rPr>
                                <w:rFonts w:ascii="Arial" w:hAnsi="Arial" w:cs="Arial"/>
                                <w:sz w:val="18"/>
                                <w:szCs w:val="18"/>
                              </w:rPr>
                              <w:t>Mission Building, M/S 504</w:t>
                            </w:r>
                          </w:p>
                          <w:p w14:paraId="789EB789" w14:textId="77777777" w:rsidR="00965082" w:rsidRPr="0063791E" w:rsidRDefault="00965082" w:rsidP="00965082">
                            <w:pPr>
                              <w:jc w:val="right"/>
                              <w:rPr>
                                <w:rFonts w:ascii="Arial" w:hAnsi="Arial" w:cs="Arial"/>
                                <w:sz w:val="18"/>
                                <w:szCs w:val="18"/>
                              </w:rPr>
                            </w:pPr>
                            <w:r w:rsidRPr="0063791E">
                              <w:rPr>
                                <w:rFonts w:ascii="Arial" w:hAnsi="Arial" w:cs="Arial"/>
                                <w:sz w:val="18"/>
                                <w:szCs w:val="18"/>
                              </w:rPr>
                              <w:t>3</w:t>
                            </w:r>
                            <w:r>
                              <w:rPr>
                                <w:rFonts w:ascii="Arial" w:hAnsi="Arial" w:cs="Arial"/>
                                <w:sz w:val="18"/>
                                <w:szCs w:val="18"/>
                              </w:rPr>
                              <w:t xml:space="preserve">000 Rockefeller Ave., M/S 504 | </w:t>
                            </w:r>
                            <w:r w:rsidRPr="0063791E">
                              <w:rPr>
                                <w:rFonts w:ascii="Arial" w:hAnsi="Arial" w:cs="Arial"/>
                                <w:sz w:val="18"/>
                                <w:szCs w:val="18"/>
                              </w:rPr>
                              <w:t>Everett, WA</w:t>
                            </w:r>
                            <w:r>
                              <w:rPr>
                                <w:rFonts w:ascii="Arial" w:hAnsi="Arial" w:cs="Arial"/>
                                <w:sz w:val="18"/>
                                <w:szCs w:val="18"/>
                              </w:rPr>
                              <w:t xml:space="preserve"> </w:t>
                            </w:r>
                            <w:r w:rsidRPr="0063791E">
                              <w:rPr>
                                <w:rFonts w:ascii="Arial" w:hAnsi="Arial" w:cs="Arial"/>
                                <w:sz w:val="18"/>
                                <w:szCs w:val="18"/>
                              </w:rPr>
                              <w:t>98201-4046</w:t>
                            </w:r>
                          </w:p>
                          <w:p w14:paraId="7BF405BE" w14:textId="77777777" w:rsidR="00965082" w:rsidRPr="00750295" w:rsidRDefault="00965082" w:rsidP="00965082">
                            <w:pPr>
                              <w:jc w:val="right"/>
                              <w:rPr>
                                <w:rFonts w:ascii="Arial" w:hAnsi="Arial" w:cs="Arial"/>
                                <w:sz w:val="18"/>
                                <w:szCs w:val="18"/>
                              </w:rPr>
                            </w:pPr>
                            <w:r w:rsidRPr="0063791E">
                              <w:rPr>
                                <w:rFonts w:ascii="Arial" w:hAnsi="Arial" w:cs="Arial"/>
                                <w:sz w:val="18"/>
                                <w:szCs w:val="18"/>
                              </w:rPr>
                              <w:t>(</w:t>
                            </w:r>
                            <w:r>
                              <w:rPr>
                                <w:rFonts w:ascii="Arial" w:hAnsi="Arial" w:cs="Arial"/>
                                <w:sz w:val="18"/>
                                <w:szCs w:val="18"/>
                              </w:rPr>
                              <w:t>425</w:t>
                            </w:r>
                            <w:r w:rsidRPr="0063791E">
                              <w:rPr>
                                <w:rFonts w:ascii="Arial" w:hAnsi="Arial" w:cs="Arial"/>
                                <w:sz w:val="18"/>
                                <w:szCs w:val="18"/>
                              </w:rPr>
                              <w:t xml:space="preserve">) </w:t>
                            </w:r>
                            <w:r>
                              <w:rPr>
                                <w:rFonts w:ascii="Arial" w:hAnsi="Arial" w:cs="Arial"/>
                                <w:sz w:val="18"/>
                                <w:szCs w:val="18"/>
                              </w:rPr>
                              <w:t xml:space="preserve">388-3333 | Fax (425) 388-3572 </w:t>
                            </w:r>
                            <w:hyperlink r:id="rId8" w:history="1">
                              <w:r w:rsidRPr="00750295">
                                <w:rPr>
                                  <w:rStyle w:val="Hyperlink"/>
                                  <w:rFonts w:ascii="Arial" w:hAnsi="Arial" w:cs="Arial"/>
                                  <w:sz w:val="18"/>
                                  <w:szCs w:val="18"/>
                                </w:rPr>
                                <w:t>www.snoco.org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9618" id="Text Box 4" o:spid="_x0000_s1027" type="#_x0000_t202" style="position:absolute;margin-left:293.85pt;margin-top:9.2pt;width:214.75pt;height:1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" filled="f" stroked="f">
                <v:textbox>
                  <w:txbxContent>
                    <w:p w14:paraId="095B7B50" w14:textId="77777777" w:rsidR="00965082" w:rsidRPr="00D115EA" w:rsidRDefault="00965082" w:rsidP="00965082">
                      <w:pPr>
                        <w:jc w:val="right"/>
                        <w:rPr>
                          <w:rFonts w:ascii="Arial" w:hAnsi="Arial" w:cs="Arial"/>
                          <w:b/>
                          <w:sz w:val="24"/>
                          <w:szCs w:val="24"/>
                        </w:rPr>
                      </w:pPr>
                      <w:r w:rsidRPr="00D115EA">
                        <w:rPr>
                          <w:rFonts w:ascii="Arial" w:hAnsi="Arial" w:cs="Arial"/>
                          <w:b/>
                          <w:sz w:val="24"/>
                          <w:szCs w:val="24"/>
                        </w:rPr>
                        <w:t>Snohomish County</w:t>
                      </w:r>
                    </w:p>
                    <w:p w14:paraId="1596549A" w14:textId="77777777" w:rsidR="00965082" w:rsidRDefault="00965082" w:rsidP="00965082">
                      <w:pPr>
                        <w:spacing w:before="60"/>
                        <w:jc w:val="right"/>
                        <w:rPr>
                          <w:rFonts w:ascii="Arial" w:hAnsi="Arial" w:cs="Arial"/>
                          <w:b/>
                        </w:rPr>
                      </w:pPr>
                      <w:r>
                        <w:rPr>
                          <w:rFonts w:ascii="Arial" w:hAnsi="Arial" w:cs="Arial"/>
                          <w:b/>
                        </w:rPr>
                        <w:t>Prosecuting Attorney</w:t>
                      </w:r>
                    </w:p>
                    <w:p w14:paraId="433855B0" w14:textId="77777777" w:rsidR="00965082" w:rsidRDefault="00965082" w:rsidP="00965082">
                      <w:pPr>
                        <w:spacing w:before="60"/>
                        <w:jc w:val="right"/>
                        <w:rPr>
                          <w:rFonts w:ascii="Arial" w:hAnsi="Arial" w:cs="Arial"/>
                          <w:b/>
                        </w:rPr>
                      </w:pPr>
                      <w:r>
                        <w:rPr>
                          <w:rFonts w:ascii="Arial" w:hAnsi="Arial" w:cs="Arial"/>
                          <w:b/>
                        </w:rPr>
                        <w:t>Criminal Division</w:t>
                      </w:r>
                    </w:p>
                    <w:p w14:paraId="633C0E30" w14:textId="77777777" w:rsidR="00965082" w:rsidRDefault="00965082" w:rsidP="00965082">
                      <w:pPr>
                        <w:spacing w:before="60"/>
                        <w:jc w:val="right"/>
                        <w:rPr>
                          <w:rFonts w:ascii="Arial" w:hAnsi="Arial" w:cs="Arial"/>
                          <w:b/>
                        </w:rPr>
                      </w:pPr>
                    </w:p>
                    <w:p w14:paraId="11F92BB2" w14:textId="77777777" w:rsidR="00965082" w:rsidRPr="00FA78FD" w:rsidRDefault="00965082" w:rsidP="00965082">
                      <w:pPr>
                        <w:jc w:val="right"/>
                        <w:rPr>
                          <w:rFonts w:ascii="Arial" w:hAnsi="Arial" w:cs="Arial"/>
                          <w:b/>
                          <w:sz w:val="18"/>
                          <w:szCs w:val="18"/>
                        </w:rPr>
                      </w:pPr>
                      <w:r>
                        <w:rPr>
                          <w:rFonts w:ascii="Arial" w:hAnsi="Arial" w:cs="Arial"/>
                          <w:b/>
                          <w:sz w:val="18"/>
                          <w:szCs w:val="18"/>
                        </w:rPr>
                        <w:t>Adam Cornell</w:t>
                      </w:r>
                    </w:p>
                    <w:p w14:paraId="1F0E007E" w14:textId="77777777" w:rsidR="00965082" w:rsidRDefault="00965082" w:rsidP="00965082">
                      <w:pPr>
                        <w:jc w:val="right"/>
                        <w:rPr>
                          <w:rFonts w:ascii="Arial" w:hAnsi="Arial" w:cs="Arial"/>
                          <w:i/>
                          <w:sz w:val="18"/>
                          <w:szCs w:val="18"/>
                        </w:rPr>
                      </w:pPr>
                      <w:r>
                        <w:rPr>
                          <w:rFonts w:ascii="Arial" w:hAnsi="Arial" w:cs="Arial"/>
                          <w:i/>
                          <w:sz w:val="18"/>
                          <w:szCs w:val="18"/>
                        </w:rPr>
                        <w:t>Prosecuting Attorney</w:t>
                      </w:r>
                    </w:p>
                    <w:p w14:paraId="7735976B" w14:textId="77777777" w:rsidR="00965082" w:rsidRPr="00BE5273" w:rsidRDefault="00965082" w:rsidP="00965082">
                      <w:pPr>
                        <w:jc w:val="right"/>
                        <w:rPr>
                          <w:rFonts w:ascii="Arial" w:hAnsi="Arial" w:cs="Arial"/>
                          <w:b/>
                          <w:sz w:val="18"/>
                          <w:szCs w:val="18"/>
                        </w:rPr>
                      </w:pPr>
                      <w:r>
                        <w:rPr>
                          <w:rFonts w:ascii="Arial" w:hAnsi="Arial" w:cs="Arial"/>
                          <w:b/>
                          <w:sz w:val="18"/>
                          <w:szCs w:val="18"/>
                        </w:rPr>
                        <w:t>Matthew D. Baldock</w:t>
                      </w:r>
                    </w:p>
                    <w:p w14:paraId="5DFEE62B" w14:textId="77777777" w:rsidR="00965082" w:rsidRDefault="00965082" w:rsidP="00965082">
                      <w:pPr>
                        <w:jc w:val="right"/>
                        <w:rPr>
                          <w:rFonts w:ascii="Arial" w:hAnsi="Arial" w:cs="Arial"/>
                          <w:i/>
                          <w:sz w:val="18"/>
                          <w:szCs w:val="18"/>
                        </w:rPr>
                      </w:pPr>
                      <w:r>
                        <w:rPr>
                          <w:rFonts w:ascii="Arial" w:hAnsi="Arial" w:cs="Arial"/>
                          <w:i/>
                          <w:sz w:val="18"/>
                          <w:szCs w:val="18"/>
                        </w:rPr>
                        <w:t xml:space="preserve">Chief Deputy </w:t>
                      </w:r>
                    </w:p>
                    <w:p w14:paraId="16D0FB08" w14:textId="77777777" w:rsidR="00965082" w:rsidRDefault="00965082" w:rsidP="00965082">
                      <w:pPr>
                        <w:jc w:val="right"/>
                        <w:rPr>
                          <w:rFonts w:ascii="Arial" w:hAnsi="Arial" w:cs="Arial"/>
                          <w:i/>
                          <w:sz w:val="18"/>
                          <w:szCs w:val="18"/>
                        </w:rPr>
                      </w:pPr>
                    </w:p>
                    <w:p w14:paraId="6A3B1B99" w14:textId="77777777" w:rsidR="00965082" w:rsidRDefault="00965082" w:rsidP="00965082">
                      <w:pPr>
                        <w:jc w:val="right"/>
                        <w:rPr>
                          <w:rFonts w:ascii="Arial" w:hAnsi="Arial" w:cs="Arial"/>
                          <w:sz w:val="18"/>
                          <w:szCs w:val="18"/>
                        </w:rPr>
                      </w:pPr>
                      <w:r>
                        <w:rPr>
                          <w:rFonts w:ascii="Arial" w:hAnsi="Arial" w:cs="Arial"/>
                          <w:sz w:val="18"/>
                          <w:szCs w:val="18"/>
                        </w:rPr>
                        <w:t>Mission Building, M/S 504</w:t>
                      </w:r>
                    </w:p>
                    <w:p w14:paraId="789EB789" w14:textId="77777777" w:rsidR="00965082" w:rsidRPr="0063791E" w:rsidRDefault="00965082" w:rsidP="00965082">
                      <w:pPr>
                        <w:jc w:val="right"/>
                        <w:rPr>
                          <w:rFonts w:ascii="Arial" w:hAnsi="Arial" w:cs="Arial"/>
                          <w:sz w:val="18"/>
                          <w:szCs w:val="18"/>
                        </w:rPr>
                      </w:pPr>
                      <w:r w:rsidRPr="0063791E">
                        <w:rPr>
                          <w:rFonts w:ascii="Arial" w:hAnsi="Arial" w:cs="Arial"/>
                          <w:sz w:val="18"/>
                          <w:szCs w:val="18"/>
                        </w:rPr>
                        <w:t>3</w:t>
                      </w:r>
                      <w:r>
                        <w:rPr>
                          <w:rFonts w:ascii="Arial" w:hAnsi="Arial" w:cs="Arial"/>
                          <w:sz w:val="18"/>
                          <w:szCs w:val="18"/>
                        </w:rPr>
                        <w:t xml:space="preserve">000 Rockefeller Ave., M/S 504 | </w:t>
                      </w:r>
                      <w:r w:rsidRPr="0063791E">
                        <w:rPr>
                          <w:rFonts w:ascii="Arial" w:hAnsi="Arial" w:cs="Arial"/>
                          <w:sz w:val="18"/>
                          <w:szCs w:val="18"/>
                        </w:rPr>
                        <w:t>Everett, WA</w:t>
                      </w:r>
                      <w:r>
                        <w:rPr>
                          <w:rFonts w:ascii="Arial" w:hAnsi="Arial" w:cs="Arial"/>
                          <w:sz w:val="18"/>
                          <w:szCs w:val="18"/>
                        </w:rPr>
                        <w:t xml:space="preserve"> </w:t>
                      </w:r>
                      <w:r w:rsidRPr="0063791E">
                        <w:rPr>
                          <w:rFonts w:ascii="Arial" w:hAnsi="Arial" w:cs="Arial"/>
                          <w:sz w:val="18"/>
                          <w:szCs w:val="18"/>
                        </w:rPr>
                        <w:t>98201-4046</w:t>
                      </w:r>
                    </w:p>
                    <w:p w14:paraId="7BF405BE" w14:textId="77777777" w:rsidR="00965082" w:rsidRPr="00750295" w:rsidRDefault="00965082" w:rsidP="00965082">
                      <w:pPr>
                        <w:jc w:val="right"/>
                        <w:rPr>
                          <w:rFonts w:ascii="Arial" w:hAnsi="Arial" w:cs="Arial"/>
                          <w:sz w:val="18"/>
                          <w:szCs w:val="18"/>
                        </w:rPr>
                      </w:pPr>
                      <w:r w:rsidRPr="0063791E">
                        <w:rPr>
                          <w:rFonts w:ascii="Arial" w:hAnsi="Arial" w:cs="Arial"/>
                          <w:sz w:val="18"/>
                          <w:szCs w:val="18"/>
                        </w:rPr>
                        <w:t>(</w:t>
                      </w:r>
                      <w:r>
                        <w:rPr>
                          <w:rFonts w:ascii="Arial" w:hAnsi="Arial" w:cs="Arial"/>
                          <w:sz w:val="18"/>
                          <w:szCs w:val="18"/>
                        </w:rPr>
                        <w:t>425</w:t>
                      </w:r>
                      <w:r w:rsidRPr="0063791E">
                        <w:rPr>
                          <w:rFonts w:ascii="Arial" w:hAnsi="Arial" w:cs="Arial"/>
                          <w:sz w:val="18"/>
                          <w:szCs w:val="18"/>
                        </w:rPr>
                        <w:t xml:space="preserve">) </w:t>
                      </w:r>
                      <w:r>
                        <w:rPr>
                          <w:rFonts w:ascii="Arial" w:hAnsi="Arial" w:cs="Arial"/>
                          <w:sz w:val="18"/>
                          <w:szCs w:val="18"/>
                        </w:rPr>
                        <w:t xml:space="preserve">388-3333 | Fax (425) 388-3572 </w:t>
                      </w:r>
                      <w:hyperlink r:id="rId9" w:history="1">
                        <w:r w:rsidRPr="00750295">
                          <w:rPr>
                            <w:rStyle w:val="Hyperlink"/>
                            <w:rFonts w:ascii="Arial" w:hAnsi="Arial" w:cs="Arial"/>
                            <w:sz w:val="18"/>
                            <w:szCs w:val="18"/>
                          </w:rPr>
                          <w:t>www.snoco.org</w:t>
                        </w:r>
                      </w:hyperlink>
                    </w:p>
                  </w:txbxContent>
                </v:textbox>
              </v:shape>
            </w:pict>
          </mc:Fallback>
        </mc:AlternateContent>
      </w:r>
    </w:p>
    <w:p w14:paraId="16E27588" w14:textId="2B5E2B0D" w:rsidR="00965082" w:rsidRPr="00A35D08" w:rsidRDefault="00965082" w:rsidP="00965082">
      <w:pPr>
        <w:rPr>
          <w:rFonts w:ascii="AvantGarde" w:hAnsi="AvantGarde" w:cs="Arial"/>
          <w:b/>
          <w:noProof/>
          <w:sz w:val="22"/>
          <w:szCs w:val="22"/>
        </w:rPr>
      </w:pPr>
      <w:r w:rsidRPr="00A35D0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ACDF308" wp14:editId="2989ED37">
                <wp:simplePos x="0" y="0"/>
                <wp:positionH relativeFrom="column">
                  <wp:posOffset>14605</wp:posOffset>
                </wp:positionH>
                <wp:positionV relativeFrom="paragraph">
                  <wp:posOffset>171450</wp:posOffset>
                </wp:positionV>
                <wp:extent cx="6349365" cy="0"/>
                <wp:effectExtent l="14605" t="8890" r="825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9365" cy="0"/>
                        </a:xfrm>
                        <a:prstGeom prst="straightConnector1">
                          <a:avLst/>
                        </a:prstGeom>
                        <a:noFill/>
                        <a:ln w="12700">
                          <a:solidFill>
                            <a:srgbClr val="1218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407AF" id="_x0000_t32" coordsize="21600,21600" o:spt="32" o:oned="t" path="m,l21600,21600e" filled="f">
                <v:path arrowok="t" fillok="f" o:connecttype="none"/>
                <o:lock v:ext="edit" shapetype="t"/>
              </v:shapetype>
              <v:shape id="Straight Arrow Connector 3" o:spid="_x0000_s1026" type="#_x0000_t32" style="position:absolute;margin-left:1.15pt;margin-top:13.5pt;width:499.9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" strokecolor="#12188d" strokeweight="1pt"/>
            </w:pict>
          </mc:Fallback>
        </mc:AlternateContent>
      </w:r>
    </w:p>
    <w:p w14:paraId="08C38D58" w14:textId="77777777" w:rsidR="00965082" w:rsidRPr="00A35D08" w:rsidRDefault="00965082" w:rsidP="00965082">
      <w:pPr>
        <w:rPr>
          <w:rFonts w:ascii="Calibri" w:hAnsi="Calibri" w:cs="Calibri"/>
          <w:noProof/>
          <w:sz w:val="22"/>
          <w:szCs w:val="22"/>
        </w:rPr>
      </w:pPr>
    </w:p>
    <w:p w14:paraId="51121F84" w14:textId="77777777" w:rsidR="00965082" w:rsidRPr="00A35D08" w:rsidRDefault="00965082" w:rsidP="00965082">
      <w:pPr>
        <w:rPr>
          <w:rFonts w:ascii="Calibri" w:hAnsi="Calibri" w:cs="Calibri"/>
          <w:noProof/>
          <w:sz w:val="22"/>
          <w:szCs w:val="22"/>
        </w:rPr>
      </w:pPr>
    </w:p>
    <w:p w14:paraId="3F4FEDC9" w14:textId="77777777" w:rsidR="00965082" w:rsidRPr="00A35D08" w:rsidRDefault="00965082" w:rsidP="00965082">
      <w:pPr>
        <w:rPr>
          <w:rFonts w:ascii="Calibri" w:hAnsi="Calibri" w:cs="Calibri"/>
          <w:noProof/>
          <w:sz w:val="22"/>
          <w:szCs w:val="22"/>
        </w:rPr>
      </w:pPr>
    </w:p>
    <w:p w14:paraId="786201E5" w14:textId="77777777" w:rsidR="00965082" w:rsidRDefault="00965082" w:rsidP="00965082">
      <w:pPr>
        <w:rPr>
          <w:rFonts w:ascii="Calibri" w:hAnsi="Calibri" w:cs="Calibri"/>
          <w:noProof/>
          <w:sz w:val="22"/>
          <w:szCs w:val="22"/>
        </w:rPr>
      </w:pPr>
    </w:p>
    <w:p w14:paraId="62EFB223" w14:textId="77777777" w:rsidR="00965082" w:rsidRDefault="00965082" w:rsidP="00965082">
      <w:pPr>
        <w:rPr>
          <w:rFonts w:ascii="Calibri" w:hAnsi="Calibri" w:cs="Calibri"/>
          <w:noProof/>
          <w:sz w:val="22"/>
          <w:szCs w:val="22"/>
        </w:rPr>
      </w:pPr>
    </w:p>
    <w:p w14:paraId="2091E3F9" w14:textId="77777777" w:rsidR="00965082" w:rsidRDefault="00965082" w:rsidP="00965082">
      <w:pPr>
        <w:rPr>
          <w:rFonts w:ascii="Calibri" w:hAnsi="Calibri" w:cs="Calibri"/>
          <w:noProof/>
          <w:sz w:val="22"/>
          <w:szCs w:val="22"/>
        </w:rPr>
      </w:pPr>
    </w:p>
    <w:p w14:paraId="17E39995" w14:textId="77777777" w:rsidR="00965082" w:rsidRDefault="00965082" w:rsidP="00965082">
      <w:pPr>
        <w:rPr>
          <w:rFonts w:ascii="Calibri" w:hAnsi="Calibri" w:cs="Calibri"/>
          <w:noProof/>
          <w:sz w:val="22"/>
          <w:szCs w:val="22"/>
        </w:rPr>
      </w:pPr>
    </w:p>
    <w:p w14:paraId="11879F9B" w14:textId="77777777" w:rsidR="00965082" w:rsidRPr="002503C5" w:rsidRDefault="00965082" w:rsidP="00965082">
      <w:pPr>
        <w:rPr>
          <w:rFonts w:ascii="Calibri" w:hAnsi="Calibri" w:cs="Calibri"/>
          <w:noProof/>
          <w:sz w:val="22"/>
          <w:szCs w:val="22"/>
        </w:rPr>
      </w:pPr>
    </w:p>
    <w:p w14:paraId="1B02B2CF" w14:textId="77777777" w:rsidR="00965082" w:rsidRDefault="00965082" w:rsidP="00965082">
      <w:pPr>
        <w:rPr>
          <w:rFonts w:ascii="AvantGarde" w:hAnsi="AvantGarde" w:cs="Arial"/>
          <w:b/>
          <w:noProof/>
          <w:sz w:val="22"/>
          <w:szCs w:val="22"/>
        </w:rPr>
      </w:pPr>
    </w:p>
    <w:p w14:paraId="51927D33" w14:textId="77777777" w:rsidR="00965082" w:rsidRDefault="00965082" w:rsidP="00965082">
      <w:pPr>
        <w:rPr>
          <w:rFonts w:ascii="AvantGarde" w:hAnsi="AvantGarde" w:cs="Arial"/>
          <w:b/>
          <w:noProof/>
          <w:sz w:val="22"/>
          <w:szCs w:val="22"/>
        </w:rPr>
      </w:pPr>
    </w:p>
    <w:p w14:paraId="7BD9EABC" w14:textId="602DCE64" w:rsidR="00965082" w:rsidRDefault="00965082" w:rsidP="00965082">
      <w:pPr>
        <w:rPr>
          <w:rFonts w:ascii="AvantGarde" w:hAnsi="AvantGarde" w:cs="Arial"/>
          <w:b/>
          <w:noProof/>
          <w:sz w:val="22"/>
          <w:szCs w:val="22"/>
        </w:rPr>
      </w:pPr>
      <w:r w:rsidRPr="00A35D08">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09F14B5B" wp14:editId="62C2A481">
                <wp:simplePos x="0" y="0"/>
                <wp:positionH relativeFrom="column">
                  <wp:posOffset>14605</wp:posOffset>
                </wp:positionH>
                <wp:positionV relativeFrom="paragraph">
                  <wp:posOffset>171450</wp:posOffset>
                </wp:positionV>
                <wp:extent cx="6349365" cy="0"/>
                <wp:effectExtent l="14605" t="10795" r="825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9365" cy="0"/>
                        </a:xfrm>
                        <a:prstGeom prst="straightConnector1">
                          <a:avLst/>
                        </a:prstGeom>
                        <a:noFill/>
                        <a:ln w="12700">
                          <a:solidFill>
                            <a:srgbClr val="1218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4DAAB" id="Straight Arrow Connector 2" o:spid="_x0000_s1026" type="#_x0000_t32" style="position:absolute;margin-left:1.15pt;margin-top:13.5pt;width:499.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" strokecolor="#12188d" strokeweight="1pt"/>
            </w:pict>
          </mc:Fallback>
        </mc:AlternateContent>
      </w:r>
    </w:p>
    <w:p w14:paraId="720F2CFF" w14:textId="77777777" w:rsidR="00965082" w:rsidRDefault="00965082" w:rsidP="00965082">
      <w:pPr>
        <w:rPr>
          <w:rFonts w:ascii="AvantGarde" w:hAnsi="AvantGarde" w:cs="Arial"/>
          <w:b/>
          <w:noProof/>
          <w:sz w:val="22"/>
          <w:szCs w:val="22"/>
        </w:rPr>
      </w:pPr>
    </w:p>
    <w:p w14:paraId="4B3E38D5" w14:textId="77777777" w:rsidR="00965082" w:rsidRDefault="00965082" w:rsidP="00965082">
      <w:pPr>
        <w:rPr>
          <w:rFonts w:ascii="AvantGarde" w:hAnsi="AvantGarde" w:cs="Arial"/>
          <w:b/>
          <w:noProof/>
          <w:sz w:val="22"/>
          <w:szCs w:val="22"/>
        </w:rPr>
      </w:pPr>
      <w:r>
        <w:rPr>
          <w:rFonts w:ascii="AvantGarde" w:hAnsi="AvantGarde" w:cs="Arial"/>
          <w:b/>
          <w:noProof/>
          <w:sz w:val="22"/>
          <w:szCs w:val="22"/>
        </w:rPr>
        <w:t>MEMORANDUM</w:t>
      </w:r>
    </w:p>
    <w:p w14:paraId="2D172982" w14:textId="77777777" w:rsidR="00965082" w:rsidRDefault="00965082" w:rsidP="00965082">
      <w:pPr>
        <w:rPr>
          <w:rFonts w:ascii="AvantGarde" w:hAnsi="AvantGarde" w:cs="Arial"/>
          <w:b/>
          <w:noProof/>
          <w:sz w:val="22"/>
          <w:szCs w:val="22"/>
        </w:rPr>
      </w:pPr>
    </w:p>
    <w:p w14:paraId="6CA029CE" w14:textId="15F66507" w:rsidR="00965082" w:rsidRDefault="00965082" w:rsidP="00965082">
      <w:pPr>
        <w:rPr>
          <w:rFonts w:ascii="AvantGarde" w:hAnsi="AvantGarde" w:cs="Arial"/>
          <w:b/>
          <w:noProof/>
          <w:sz w:val="22"/>
          <w:szCs w:val="22"/>
        </w:rPr>
      </w:pPr>
      <w:r>
        <w:rPr>
          <w:rFonts w:ascii="AvantGarde" w:hAnsi="AvantGarde" w:cs="Arial"/>
          <w:b/>
          <w:noProof/>
          <w:sz w:val="22"/>
          <w:szCs w:val="22"/>
        </w:rPr>
        <w:t>TO:</w:t>
      </w:r>
      <w:r>
        <w:rPr>
          <w:rFonts w:ascii="AvantGarde" w:hAnsi="AvantGarde" w:cs="Arial"/>
          <w:b/>
          <w:noProof/>
          <w:sz w:val="22"/>
          <w:szCs w:val="22"/>
        </w:rPr>
        <w:tab/>
      </w:r>
      <w:r>
        <w:rPr>
          <w:rFonts w:ascii="AvantGarde" w:hAnsi="AvantGarde" w:cs="Arial"/>
          <w:b/>
          <w:noProof/>
          <w:sz w:val="22"/>
          <w:szCs w:val="22"/>
        </w:rPr>
        <w:tab/>
      </w:r>
      <w:r w:rsidR="00B53F54">
        <w:rPr>
          <w:rFonts w:ascii="AvantGarde" w:hAnsi="AvantGarde" w:cs="Arial"/>
          <w:b/>
          <w:noProof/>
          <w:sz w:val="22"/>
          <w:szCs w:val="22"/>
        </w:rPr>
        <w:t>Snohomish County LEA Command Staff</w:t>
      </w:r>
    </w:p>
    <w:p w14:paraId="5770ABE9" w14:textId="77777777" w:rsidR="00965082" w:rsidRDefault="00965082" w:rsidP="00965082">
      <w:pPr>
        <w:rPr>
          <w:rFonts w:ascii="AvantGarde" w:hAnsi="AvantGarde" w:cs="Arial"/>
          <w:b/>
          <w:noProof/>
          <w:sz w:val="22"/>
          <w:szCs w:val="22"/>
        </w:rPr>
      </w:pPr>
    </w:p>
    <w:p w14:paraId="187FEF06" w14:textId="77777777" w:rsidR="00965082" w:rsidRDefault="00965082" w:rsidP="00965082">
      <w:pPr>
        <w:rPr>
          <w:rFonts w:ascii="AvantGarde" w:hAnsi="AvantGarde" w:cs="Arial"/>
          <w:b/>
          <w:noProof/>
          <w:sz w:val="22"/>
          <w:szCs w:val="22"/>
        </w:rPr>
      </w:pPr>
      <w:r>
        <w:rPr>
          <w:rFonts w:ascii="AvantGarde" w:hAnsi="AvantGarde" w:cs="Arial"/>
          <w:b/>
          <w:noProof/>
          <w:sz w:val="22"/>
          <w:szCs w:val="22"/>
        </w:rPr>
        <w:t>FROM:</w:t>
      </w:r>
      <w:r>
        <w:rPr>
          <w:rFonts w:ascii="AvantGarde" w:hAnsi="AvantGarde" w:cs="Arial"/>
          <w:b/>
          <w:noProof/>
          <w:sz w:val="22"/>
          <w:szCs w:val="22"/>
        </w:rPr>
        <w:tab/>
      </w:r>
      <w:r>
        <w:rPr>
          <w:rFonts w:ascii="AvantGarde" w:hAnsi="AvantGarde" w:cs="Arial"/>
          <w:b/>
          <w:noProof/>
          <w:sz w:val="22"/>
          <w:szCs w:val="22"/>
        </w:rPr>
        <w:tab/>
        <w:t>Matt Baldock</w:t>
      </w:r>
    </w:p>
    <w:p w14:paraId="7F0189CD" w14:textId="77777777" w:rsidR="00965082" w:rsidRDefault="00965082" w:rsidP="00965082">
      <w:pPr>
        <w:rPr>
          <w:rFonts w:ascii="AvantGarde" w:hAnsi="AvantGarde" w:cs="Arial"/>
          <w:b/>
          <w:noProof/>
          <w:sz w:val="22"/>
          <w:szCs w:val="22"/>
        </w:rPr>
      </w:pPr>
    </w:p>
    <w:p w14:paraId="79106864" w14:textId="08D5AA17" w:rsidR="00965082" w:rsidRDefault="00965082" w:rsidP="00965082">
      <w:pPr>
        <w:rPr>
          <w:rFonts w:ascii="AvantGarde" w:hAnsi="AvantGarde" w:cs="Arial"/>
          <w:b/>
          <w:noProof/>
          <w:sz w:val="22"/>
          <w:szCs w:val="22"/>
        </w:rPr>
      </w:pPr>
      <w:r>
        <w:rPr>
          <w:rFonts w:ascii="AvantGarde" w:hAnsi="AvantGarde" w:cs="Arial"/>
          <w:b/>
          <w:noProof/>
          <w:sz w:val="22"/>
          <w:szCs w:val="22"/>
        </w:rPr>
        <w:t>DATE:</w:t>
      </w:r>
      <w:r>
        <w:rPr>
          <w:rFonts w:ascii="AvantGarde" w:hAnsi="AvantGarde" w:cs="Arial"/>
          <w:b/>
          <w:noProof/>
          <w:sz w:val="22"/>
          <w:szCs w:val="22"/>
        </w:rPr>
        <w:tab/>
      </w:r>
      <w:r>
        <w:rPr>
          <w:rFonts w:ascii="AvantGarde" w:hAnsi="AvantGarde" w:cs="Arial"/>
          <w:b/>
          <w:noProof/>
          <w:sz w:val="22"/>
          <w:szCs w:val="22"/>
        </w:rPr>
        <w:tab/>
      </w:r>
      <w:r w:rsidR="00B53F54">
        <w:rPr>
          <w:rFonts w:ascii="AvantGarde" w:hAnsi="AvantGarde" w:cs="Arial"/>
          <w:b/>
          <w:noProof/>
          <w:sz w:val="22"/>
          <w:szCs w:val="22"/>
        </w:rPr>
        <w:t>February 3, 2022</w:t>
      </w:r>
    </w:p>
    <w:p w14:paraId="0581CC54" w14:textId="77777777" w:rsidR="00965082" w:rsidRDefault="00965082" w:rsidP="00965082">
      <w:pPr>
        <w:rPr>
          <w:rFonts w:ascii="AvantGarde" w:hAnsi="AvantGarde" w:cs="Arial"/>
          <w:b/>
          <w:noProof/>
          <w:sz w:val="22"/>
          <w:szCs w:val="22"/>
        </w:rPr>
      </w:pPr>
    </w:p>
    <w:p w14:paraId="5F8859B4" w14:textId="3362CE9A" w:rsidR="00965082" w:rsidRDefault="00965082" w:rsidP="00965082">
      <w:pPr>
        <w:rPr>
          <w:rFonts w:ascii="AvantGarde" w:hAnsi="AvantGarde" w:cs="Arial"/>
          <w:b/>
          <w:noProof/>
          <w:sz w:val="22"/>
          <w:szCs w:val="22"/>
        </w:rPr>
      </w:pPr>
      <w:r>
        <w:rPr>
          <w:rFonts w:ascii="AvantGarde" w:hAnsi="AvantGarde" w:cs="Arial"/>
          <w:b/>
          <w:noProof/>
          <w:sz w:val="22"/>
          <w:szCs w:val="22"/>
        </w:rPr>
        <w:t>RE:</w:t>
      </w:r>
      <w:r>
        <w:rPr>
          <w:rFonts w:ascii="AvantGarde" w:hAnsi="AvantGarde" w:cs="Arial"/>
          <w:b/>
          <w:noProof/>
          <w:sz w:val="22"/>
          <w:szCs w:val="22"/>
        </w:rPr>
        <w:tab/>
      </w:r>
      <w:r>
        <w:rPr>
          <w:rFonts w:ascii="AvantGarde" w:hAnsi="AvantGarde" w:cs="Arial"/>
          <w:b/>
          <w:noProof/>
          <w:sz w:val="22"/>
          <w:szCs w:val="22"/>
        </w:rPr>
        <w:tab/>
      </w:r>
      <w:r w:rsidR="00B53F54">
        <w:rPr>
          <w:rFonts w:ascii="AvantGarde" w:hAnsi="AvantGarde" w:cs="Arial"/>
          <w:b/>
          <w:noProof/>
          <w:sz w:val="22"/>
          <w:szCs w:val="22"/>
        </w:rPr>
        <w:t xml:space="preserve">New </w:t>
      </w:r>
      <w:r>
        <w:rPr>
          <w:rFonts w:ascii="AvantGarde" w:hAnsi="AvantGarde" w:cs="Arial"/>
          <w:b/>
          <w:noProof/>
          <w:sz w:val="22"/>
          <w:szCs w:val="22"/>
        </w:rPr>
        <w:t>PID Questionnaire</w:t>
      </w:r>
      <w:r w:rsidR="00B53F54">
        <w:rPr>
          <w:rFonts w:ascii="AvantGarde" w:hAnsi="AvantGarde" w:cs="Arial"/>
          <w:b/>
          <w:noProof/>
          <w:sz w:val="22"/>
          <w:szCs w:val="22"/>
        </w:rPr>
        <w:t xml:space="preserve"> Policy</w:t>
      </w:r>
    </w:p>
    <w:p w14:paraId="0CE62828" w14:textId="1DDA4CB0" w:rsidR="00965082" w:rsidRPr="00A35D08" w:rsidRDefault="00965082" w:rsidP="00965082">
      <w:pPr>
        <w:rPr>
          <w:rFonts w:ascii="AvantGarde" w:hAnsi="AvantGarde" w:cs="Arial"/>
          <w:b/>
          <w:noProof/>
          <w:sz w:val="22"/>
          <w:szCs w:val="22"/>
        </w:rPr>
      </w:pPr>
      <w:r w:rsidRPr="00A35D08">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08E4A68C" wp14:editId="5ABCF39A">
                <wp:simplePos x="0" y="0"/>
                <wp:positionH relativeFrom="column">
                  <wp:posOffset>14605</wp:posOffset>
                </wp:positionH>
                <wp:positionV relativeFrom="paragraph">
                  <wp:posOffset>171450</wp:posOffset>
                </wp:positionV>
                <wp:extent cx="6349365" cy="0"/>
                <wp:effectExtent l="14605" t="8890" r="825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9365" cy="0"/>
                        </a:xfrm>
                        <a:prstGeom prst="straightConnector1">
                          <a:avLst/>
                        </a:prstGeom>
                        <a:noFill/>
                        <a:ln w="12700">
                          <a:solidFill>
                            <a:srgbClr val="1218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29157" id="Straight Arrow Connector 1" o:spid="_x0000_s1026" type="#_x0000_t32" style="position:absolute;margin-left:1.15pt;margin-top:13.5pt;width:499.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" strokecolor="#12188d" strokeweight="1pt"/>
            </w:pict>
          </mc:Fallback>
        </mc:AlternateContent>
      </w:r>
    </w:p>
    <w:p w14:paraId="749F513B" w14:textId="77777777" w:rsidR="00965082" w:rsidRDefault="00965082" w:rsidP="00965082">
      <w:pPr>
        <w:rPr>
          <w:rFonts w:ascii="AvantGarde" w:hAnsi="AvantGarde" w:cs="Arial"/>
          <w:b/>
          <w:noProof/>
          <w:sz w:val="22"/>
          <w:szCs w:val="22"/>
        </w:rPr>
      </w:pPr>
    </w:p>
    <w:p w14:paraId="1EFC484F" w14:textId="07CC88E0" w:rsidR="00965082" w:rsidRPr="00D76FF9" w:rsidRDefault="00020FA4" w:rsidP="00965082">
      <w:pPr>
        <w:rPr>
          <w:rFonts w:ascii="AvantGarde" w:hAnsi="AvantGarde" w:cs="Arial"/>
          <w:bCs/>
          <w:noProof/>
        </w:rPr>
      </w:pPr>
      <w:r w:rsidRPr="00D76FF9">
        <w:rPr>
          <w:rFonts w:ascii="AvantGarde" w:hAnsi="AvantGarde" w:cs="Arial"/>
          <w:bCs/>
          <w:noProof/>
        </w:rPr>
        <w:t xml:space="preserve">Law Enforcement </w:t>
      </w:r>
      <w:r w:rsidR="00965082" w:rsidRPr="00D76FF9">
        <w:rPr>
          <w:rFonts w:ascii="AvantGarde" w:hAnsi="AvantGarde" w:cs="Arial"/>
          <w:bCs/>
          <w:noProof/>
        </w:rPr>
        <w:t>Colleagues:</w:t>
      </w:r>
    </w:p>
    <w:p w14:paraId="4F6ECC8D" w14:textId="77777777" w:rsidR="00965082" w:rsidRPr="00D76FF9" w:rsidRDefault="00965082" w:rsidP="00965082">
      <w:pPr>
        <w:rPr>
          <w:rFonts w:ascii="AvantGarde" w:hAnsi="AvantGarde" w:cs="Arial"/>
          <w:bCs/>
          <w:noProof/>
        </w:rPr>
      </w:pPr>
    </w:p>
    <w:p w14:paraId="5EAE44B8" w14:textId="7DE7E7AD" w:rsidR="00965082" w:rsidRPr="00D76FF9" w:rsidRDefault="00965082" w:rsidP="00965082">
      <w:pPr>
        <w:rPr>
          <w:rFonts w:ascii="AvantGarde" w:hAnsi="AvantGarde" w:cs="Arial"/>
          <w:bCs/>
          <w:noProof/>
        </w:rPr>
      </w:pPr>
      <w:r w:rsidRPr="00D76FF9">
        <w:rPr>
          <w:rFonts w:ascii="AvantGarde" w:hAnsi="AvantGarde" w:cs="Arial"/>
          <w:bCs/>
          <w:noProof/>
        </w:rPr>
        <w:t xml:space="preserve">Beginning February </w:t>
      </w:r>
      <w:r w:rsidR="00DB118B" w:rsidRPr="00D76FF9">
        <w:rPr>
          <w:rFonts w:ascii="AvantGarde" w:hAnsi="AvantGarde" w:cs="Arial"/>
          <w:bCs/>
          <w:noProof/>
        </w:rPr>
        <w:t>28</w:t>
      </w:r>
      <w:r w:rsidRPr="00D76FF9">
        <w:rPr>
          <w:rFonts w:ascii="AvantGarde" w:hAnsi="AvantGarde" w:cs="Arial"/>
          <w:bCs/>
          <w:noProof/>
        </w:rPr>
        <w:t xml:space="preserve">, 2022, </w:t>
      </w:r>
      <w:r w:rsidR="00B53F54" w:rsidRPr="00D76FF9">
        <w:rPr>
          <w:rFonts w:ascii="AvantGarde" w:hAnsi="AvantGarde" w:cs="Arial"/>
          <w:bCs/>
          <w:noProof/>
        </w:rPr>
        <w:t xml:space="preserve">the SCPAO will be implementing a new policy </w:t>
      </w:r>
      <w:r w:rsidR="00020FA4" w:rsidRPr="00D76FF9">
        <w:rPr>
          <w:rFonts w:ascii="AvantGarde" w:hAnsi="AvantGarde" w:cs="Arial"/>
          <w:bCs/>
          <w:noProof/>
        </w:rPr>
        <w:t>requiring DPAs to send questionnaires to all witnesses in trial-bound cases, seeking to identify any potentially exculpatory information known to the witnesses</w:t>
      </w:r>
      <w:r w:rsidRPr="00D76FF9">
        <w:rPr>
          <w:rFonts w:ascii="AvantGarde" w:hAnsi="AvantGarde" w:cs="Arial"/>
          <w:bCs/>
          <w:noProof/>
        </w:rPr>
        <w:t xml:space="preserve">. This </w:t>
      </w:r>
      <w:r w:rsidR="004C7803" w:rsidRPr="00D76FF9">
        <w:rPr>
          <w:rFonts w:ascii="AvantGarde" w:hAnsi="AvantGarde" w:cs="Arial"/>
          <w:bCs/>
          <w:noProof/>
        </w:rPr>
        <w:t xml:space="preserve">memorandum is intended to explain </w:t>
      </w:r>
      <w:r w:rsidR="0076605C" w:rsidRPr="00D76FF9">
        <w:rPr>
          <w:rFonts w:ascii="AvantGarde" w:hAnsi="AvantGarde" w:cs="Arial"/>
          <w:bCs/>
          <w:noProof/>
        </w:rPr>
        <w:t xml:space="preserve">the reasons for this new policy and to </w:t>
      </w:r>
      <w:r w:rsidR="002A59D4" w:rsidRPr="00D76FF9">
        <w:rPr>
          <w:rFonts w:ascii="AvantGarde" w:hAnsi="AvantGarde" w:cs="Arial"/>
          <w:bCs/>
          <w:noProof/>
        </w:rPr>
        <w:t xml:space="preserve">address some of the questions and concerns I can reasonably anticipate coming from </w:t>
      </w:r>
      <w:r w:rsidR="00C5466B" w:rsidRPr="00D76FF9">
        <w:rPr>
          <w:rFonts w:ascii="AvantGarde" w:hAnsi="AvantGarde" w:cs="Arial"/>
          <w:bCs/>
          <w:noProof/>
        </w:rPr>
        <w:t xml:space="preserve">LEAs. </w:t>
      </w:r>
    </w:p>
    <w:p w14:paraId="54571C43" w14:textId="77777777" w:rsidR="00C5466B" w:rsidRPr="00D76FF9" w:rsidRDefault="00C5466B" w:rsidP="00965082">
      <w:pPr>
        <w:rPr>
          <w:rFonts w:ascii="AvantGarde" w:hAnsi="AvantGarde" w:cs="Arial"/>
          <w:bCs/>
          <w:noProof/>
        </w:rPr>
      </w:pPr>
    </w:p>
    <w:p w14:paraId="5E8F25DA" w14:textId="1EA37BE7" w:rsidR="00965082" w:rsidRPr="00D76FF9" w:rsidRDefault="00965082" w:rsidP="00965082">
      <w:pPr>
        <w:rPr>
          <w:rFonts w:ascii="AvantGarde" w:hAnsi="AvantGarde" w:cs="Arial"/>
          <w:bCs/>
          <w:i/>
          <w:iCs/>
          <w:noProof/>
          <w:u w:val="single"/>
        </w:rPr>
      </w:pPr>
      <w:r w:rsidRPr="00D76FF9">
        <w:rPr>
          <w:rFonts w:ascii="AvantGarde" w:hAnsi="AvantGarde" w:cs="Arial"/>
          <w:bCs/>
          <w:i/>
          <w:iCs/>
          <w:noProof/>
          <w:u w:val="single"/>
        </w:rPr>
        <w:t xml:space="preserve">Legal </w:t>
      </w:r>
      <w:r w:rsidR="00B8409A" w:rsidRPr="00D76FF9">
        <w:rPr>
          <w:rFonts w:ascii="AvantGarde" w:hAnsi="AvantGarde" w:cs="Arial"/>
          <w:bCs/>
          <w:i/>
          <w:iCs/>
          <w:noProof/>
          <w:u w:val="single"/>
        </w:rPr>
        <w:t xml:space="preserve">and Procedural </w:t>
      </w:r>
      <w:r w:rsidRPr="00D76FF9">
        <w:rPr>
          <w:rFonts w:ascii="AvantGarde" w:hAnsi="AvantGarde" w:cs="Arial"/>
          <w:bCs/>
          <w:i/>
          <w:iCs/>
          <w:noProof/>
          <w:u w:val="single"/>
        </w:rPr>
        <w:t>Underpinnings of Policy</w:t>
      </w:r>
    </w:p>
    <w:p w14:paraId="34AC0253" w14:textId="77777777" w:rsidR="00965082" w:rsidRPr="00D76FF9" w:rsidRDefault="00965082" w:rsidP="00965082">
      <w:pPr>
        <w:rPr>
          <w:rFonts w:ascii="AvantGarde" w:hAnsi="AvantGarde" w:cs="Arial"/>
          <w:bCs/>
          <w:i/>
          <w:iCs/>
          <w:noProof/>
          <w:u w:val="single"/>
        </w:rPr>
      </w:pPr>
    </w:p>
    <w:p w14:paraId="45E1F3BB" w14:textId="7DD9A663" w:rsidR="00965082" w:rsidRPr="00D76FF9" w:rsidRDefault="00965082" w:rsidP="00965082">
      <w:pPr>
        <w:rPr>
          <w:rFonts w:ascii="AvantGarde" w:hAnsi="AvantGarde" w:cs="Arial"/>
          <w:bCs/>
          <w:noProof/>
        </w:rPr>
      </w:pPr>
      <w:r w:rsidRPr="00D76FF9">
        <w:rPr>
          <w:rFonts w:ascii="AvantGarde" w:hAnsi="AvantGarde" w:cs="Arial"/>
          <w:bCs/>
          <w:noProof/>
        </w:rPr>
        <w:t>A criminal defendant’s right to Due Process includes the right to be informed of all excu</w:t>
      </w:r>
      <w:r w:rsidR="005214C8" w:rsidRPr="00D76FF9">
        <w:rPr>
          <w:rFonts w:ascii="AvantGarde" w:hAnsi="AvantGarde" w:cs="Arial"/>
          <w:bCs/>
          <w:noProof/>
        </w:rPr>
        <w:t>l</w:t>
      </w:r>
      <w:r w:rsidRPr="00D76FF9">
        <w:rPr>
          <w:rFonts w:ascii="AvantGarde" w:hAnsi="AvantGarde" w:cs="Arial"/>
          <w:bCs/>
          <w:noProof/>
        </w:rPr>
        <w:t>patory information known to the “prosecution team.”</w:t>
      </w:r>
      <w:r w:rsidRPr="00D76FF9">
        <w:rPr>
          <w:rStyle w:val="FootnoteReference"/>
          <w:rFonts w:ascii="AvantGarde" w:hAnsi="AvantGarde" w:cs="Arial"/>
          <w:bCs/>
          <w:noProof/>
        </w:rPr>
        <w:footnoteReference w:id="1"/>
      </w:r>
      <w:r w:rsidRPr="00D76FF9">
        <w:rPr>
          <w:rFonts w:ascii="AvantGarde" w:hAnsi="AvantGarde" w:cs="Arial"/>
          <w:bCs/>
          <w:noProof/>
        </w:rPr>
        <w:t xml:space="preserve"> This amounts to an affirmative obligation on DPAs to seek out and disclose all such information (thus, the use of the questionnaire for law enforcement witnesses).  </w:t>
      </w:r>
    </w:p>
    <w:p w14:paraId="08503503" w14:textId="77777777" w:rsidR="00965082" w:rsidRPr="00D76FF9" w:rsidRDefault="00965082" w:rsidP="00965082">
      <w:pPr>
        <w:rPr>
          <w:rFonts w:ascii="AvantGarde" w:hAnsi="AvantGarde" w:cs="Arial"/>
          <w:bCs/>
          <w:noProof/>
        </w:rPr>
      </w:pPr>
    </w:p>
    <w:p w14:paraId="080E7309" w14:textId="1EAE3DBF" w:rsidR="00965082" w:rsidRPr="00D76FF9" w:rsidRDefault="00965082" w:rsidP="00965082">
      <w:pPr>
        <w:rPr>
          <w:rFonts w:ascii="AvantGarde" w:hAnsi="AvantGarde" w:cs="Arial"/>
          <w:bCs/>
          <w:noProof/>
        </w:rPr>
      </w:pPr>
      <w:r w:rsidRPr="00D76FF9">
        <w:rPr>
          <w:rFonts w:ascii="AvantGarde" w:hAnsi="AvantGarde" w:cs="Arial"/>
          <w:bCs/>
          <w:noProof/>
        </w:rPr>
        <w:t xml:space="preserve">Separately, CrR 4.7(d) requires DPAs to attempt to obtain material or information in the knowledge, possession, or control of civilian witnesses and victims if such material or information would be discoverable if in the knolwedge, possession, or control of the PA’s Office (thus, the use of the questionnaire for civilian witnesses). </w:t>
      </w:r>
    </w:p>
    <w:p w14:paraId="1D8390C5" w14:textId="5B559AE0" w:rsidR="00424B4A" w:rsidRPr="00D76FF9" w:rsidRDefault="00424B4A" w:rsidP="00965082">
      <w:pPr>
        <w:rPr>
          <w:rFonts w:ascii="AvantGarde" w:hAnsi="AvantGarde" w:cs="Arial"/>
          <w:bCs/>
          <w:noProof/>
        </w:rPr>
      </w:pPr>
    </w:p>
    <w:p w14:paraId="7E235DE3" w14:textId="636E208F" w:rsidR="00424B4A" w:rsidRPr="00D76FF9" w:rsidRDefault="004D103C" w:rsidP="00965082">
      <w:pPr>
        <w:rPr>
          <w:rFonts w:ascii="AvantGarde" w:hAnsi="AvantGarde" w:cs="Arial"/>
          <w:bCs/>
          <w:noProof/>
        </w:rPr>
      </w:pPr>
      <w:r w:rsidRPr="00D76FF9">
        <w:rPr>
          <w:rFonts w:ascii="AvantGarde" w:hAnsi="AvantGarde" w:cs="Arial"/>
          <w:bCs/>
          <w:noProof/>
        </w:rPr>
        <w:t xml:space="preserve">While there isn’t anything new about our PID/Brady and discovery obligations, </w:t>
      </w:r>
      <w:r w:rsidR="00343916" w:rsidRPr="00D76FF9">
        <w:rPr>
          <w:rFonts w:ascii="AvantGarde" w:hAnsi="AvantGarde" w:cs="Arial"/>
          <w:bCs/>
          <w:noProof/>
        </w:rPr>
        <w:t>there has been a marked</w:t>
      </w:r>
      <w:r w:rsidR="00641491" w:rsidRPr="00D76FF9">
        <w:rPr>
          <w:rFonts w:ascii="AvantGarde" w:hAnsi="AvantGarde" w:cs="Arial"/>
          <w:bCs/>
          <w:noProof/>
        </w:rPr>
        <w:t xml:space="preserve"> </w:t>
      </w:r>
      <w:r w:rsidR="002E1C57" w:rsidRPr="00D76FF9">
        <w:rPr>
          <w:rFonts w:ascii="AvantGarde" w:hAnsi="AvantGarde" w:cs="Arial"/>
          <w:bCs/>
          <w:noProof/>
        </w:rPr>
        <w:t xml:space="preserve">shift in the last few years in the way the courts (at both the appellate and trial levels) </w:t>
      </w:r>
      <w:r w:rsidR="005A6D30" w:rsidRPr="00D76FF9">
        <w:rPr>
          <w:rFonts w:ascii="AvantGarde" w:hAnsi="AvantGarde" w:cs="Arial"/>
          <w:bCs/>
          <w:noProof/>
        </w:rPr>
        <w:t xml:space="preserve">define those </w:t>
      </w:r>
      <w:r w:rsidR="005A6D30" w:rsidRPr="00D76FF9">
        <w:rPr>
          <w:rFonts w:ascii="AvantGarde" w:hAnsi="AvantGarde" w:cs="Arial"/>
          <w:bCs/>
          <w:noProof/>
        </w:rPr>
        <w:lastRenderedPageBreak/>
        <w:t>obligations</w:t>
      </w:r>
      <w:r w:rsidR="00744ACE" w:rsidRPr="00D76FF9">
        <w:rPr>
          <w:rFonts w:ascii="AvantGarde" w:hAnsi="AvantGarde" w:cs="Arial"/>
          <w:bCs/>
          <w:noProof/>
        </w:rPr>
        <w:t>, trending toward more liberal requirements for disclosure</w:t>
      </w:r>
      <w:r w:rsidR="004D3CF4" w:rsidRPr="00D76FF9">
        <w:rPr>
          <w:rFonts w:ascii="AvantGarde" w:hAnsi="AvantGarde" w:cs="Arial"/>
          <w:bCs/>
          <w:noProof/>
        </w:rPr>
        <w:t xml:space="preserve">. </w:t>
      </w:r>
      <w:r w:rsidR="00C611FE" w:rsidRPr="00D76FF9">
        <w:rPr>
          <w:rFonts w:ascii="AvantGarde" w:hAnsi="AvantGarde" w:cs="Arial"/>
          <w:bCs/>
          <w:noProof/>
        </w:rPr>
        <w:t>At the</w:t>
      </w:r>
      <w:r w:rsidR="007F019E" w:rsidRPr="00D76FF9">
        <w:rPr>
          <w:rFonts w:ascii="AvantGarde" w:hAnsi="AvantGarde" w:cs="Arial"/>
          <w:bCs/>
          <w:noProof/>
        </w:rPr>
        <w:t xml:space="preserve"> same time, courts </w:t>
      </w:r>
      <w:r w:rsidR="0038554A" w:rsidRPr="00D76FF9">
        <w:rPr>
          <w:rFonts w:ascii="AvantGarde" w:hAnsi="AvantGarde" w:cs="Arial"/>
          <w:bCs/>
          <w:noProof/>
        </w:rPr>
        <w:t>are increasingly willing to impose substantial sanctions</w:t>
      </w:r>
      <w:r w:rsidR="00CF4E79" w:rsidRPr="00D76FF9">
        <w:rPr>
          <w:rFonts w:ascii="AvantGarde" w:hAnsi="AvantGarde" w:cs="Arial"/>
          <w:bCs/>
          <w:noProof/>
        </w:rPr>
        <w:t xml:space="preserve"> (e.g., suppression of evidence, dismissal of counts/cases, etc.)</w:t>
      </w:r>
      <w:r w:rsidR="0038554A" w:rsidRPr="00D76FF9">
        <w:rPr>
          <w:rFonts w:ascii="AvantGarde" w:hAnsi="AvantGarde" w:cs="Arial"/>
          <w:bCs/>
          <w:noProof/>
        </w:rPr>
        <w:t xml:space="preserve"> </w:t>
      </w:r>
      <w:r w:rsidR="00B07220" w:rsidRPr="00D76FF9">
        <w:rPr>
          <w:rFonts w:ascii="AvantGarde" w:hAnsi="AvantGarde" w:cs="Arial"/>
          <w:bCs/>
          <w:noProof/>
        </w:rPr>
        <w:t>even for good faith violations of</w:t>
      </w:r>
      <w:r w:rsidR="00CF4E79" w:rsidRPr="00D76FF9">
        <w:rPr>
          <w:rFonts w:ascii="AvantGarde" w:hAnsi="AvantGarde" w:cs="Arial"/>
          <w:bCs/>
          <w:noProof/>
        </w:rPr>
        <w:t xml:space="preserve"> </w:t>
      </w:r>
      <w:r w:rsidR="00C372EE" w:rsidRPr="00D76FF9">
        <w:rPr>
          <w:rFonts w:ascii="AvantGarde" w:hAnsi="AvantGarde" w:cs="Arial"/>
          <w:bCs/>
          <w:noProof/>
        </w:rPr>
        <w:t xml:space="preserve">the rules. </w:t>
      </w:r>
      <w:r w:rsidR="00B31BDD" w:rsidRPr="00D76FF9">
        <w:rPr>
          <w:rFonts w:ascii="AvantGarde" w:hAnsi="AvantGarde" w:cs="Arial"/>
          <w:bCs/>
          <w:noProof/>
        </w:rPr>
        <w:t>(</w:t>
      </w:r>
      <w:r w:rsidR="00FA081D" w:rsidRPr="00D76FF9">
        <w:rPr>
          <w:rFonts w:ascii="AvantGarde" w:hAnsi="AvantGarde" w:cs="Arial"/>
          <w:bCs/>
          <w:noProof/>
        </w:rPr>
        <w:t>Consider</w:t>
      </w:r>
      <w:r w:rsidR="00B31BDD" w:rsidRPr="00D76FF9">
        <w:rPr>
          <w:rFonts w:ascii="AvantGarde" w:hAnsi="AvantGarde" w:cs="Arial"/>
          <w:bCs/>
          <w:noProof/>
        </w:rPr>
        <w:t xml:space="preserve"> the recent d</w:t>
      </w:r>
      <w:r w:rsidR="00E7135B" w:rsidRPr="00D76FF9">
        <w:rPr>
          <w:rFonts w:ascii="AvantGarde" w:hAnsi="AvantGarde" w:cs="Arial"/>
          <w:bCs/>
          <w:noProof/>
        </w:rPr>
        <w:t xml:space="preserve">ecision from the Court of Appeals in </w:t>
      </w:r>
      <w:r w:rsidR="00E7135B" w:rsidRPr="00D76FF9">
        <w:rPr>
          <w:rFonts w:ascii="AvantGarde" w:hAnsi="AvantGarde" w:cs="Arial"/>
          <w:bCs/>
          <w:noProof/>
          <w:u w:val="single"/>
        </w:rPr>
        <w:t>City of Seattle v. Lange</w:t>
      </w:r>
      <w:r w:rsidR="00E7135B" w:rsidRPr="00D76FF9">
        <w:rPr>
          <w:rFonts w:ascii="AvantGarde" w:hAnsi="AvantGarde" w:cs="Arial"/>
          <w:bCs/>
          <w:noProof/>
        </w:rPr>
        <w:t xml:space="preserve">, for example). </w:t>
      </w:r>
      <w:r w:rsidR="00C77343" w:rsidRPr="00D76FF9">
        <w:rPr>
          <w:rFonts w:ascii="AvantGarde" w:hAnsi="AvantGarde" w:cs="Arial"/>
          <w:bCs/>
          <w:noProof/>
        </w:rPr>
        <w:t xml:space="preserve">Our new policy </w:t>
      </w:r>
      <w:r w:rsidR="00C25E6D" w:rsidRPr="00D76FF9">
        <w:rPr>
          <w:rFonts w:ascii="AvantGarde" w:hAnsi="AvantGarde" w:cs="Arial"/>
          <w:bCs/>
          <w:noProof/>
        </w:rPr>
        <w:t xml:space="preserve">adds some redundancy to our existing practices and </w:t>
      </w:r>
      <w:r w:rsidR="00041DCB" w:rsidRPr="00D76FF9">
        <w:rPr>
          <w:rFonts w:ascii="AvantGarde" w:hAnsi="AvantGarde" w:cs="Arial"/>
          <w:bCs/>
          <w:noProof/>
        </w:rPr>
        <w:t xml:space="preserve">should help </w:t>
      </w:r>
      <w:r w:rsidR="00FA2A30" w:rsidRPr="00D76FF9">
        <w:rPr>
          <w:rFonts w:ascii="AvantGarde" w:hAnsi="AvantGarde" w:cs="Arial"/>
          <w:bCs/>
          <w:noProof/>
        </w:rPr>
        <w:t>ensure that our DPAs—and by extension, your officers</w:t>
      </w:r>
      <w:r w:rsidR="009B3C79" w:rsidRPr="00D76FF9">
        <w:rPr>
          <w:rFonts w:ascii="AvantGarde" w:hAnsi="AvantGarde" w:cs="Arial"/>
          <w:bCs/>
          <w:noProof/>
        </w:rPr>
        <w:t xml:space="preserve">—consistently meet our discovery and Brady/PID obligations. </w:t>
      </w:r>
    </w:p>
    <w:p w14:paraId="2D5FC390" w14:textId="77777777" w:rsidR="00965082" w:rsidRPr="00D76FF9" w:rsidRDefault="00965082" w:rsidP="00965082">
      <w:pPr>
        <w:rPr>
          <w:rFonts w:ascii="AvantGarde" w:hAnsi="AvantGarde" w:cs="Arial"/>
          <w:bCs/>
          <w:noProof/>
        </w:rPr>
      </w:pPr>
    </w:p>
    <w:p w14:paraId="3EDF54CC" w14:textId="7E60776B" w:rsidR="00307ABD" w:rsidRPr="00D76FF9" w:rsidRDefault="00965082">
      <w:pPr>
        <w:rPr>
          <w:rFonts w:ascii="AvantGarde" w:hAnsi="AvantGarde" w:cs="Arial"/>
          <w:bCs/>
          <w:i/>
          <w:iCs/>
          <w:noProof/>
          <w:u w:val="single"/>
        </w:rPr>
      </w:pPr>
      <w:r w:rsidRPr="00D76FF9">
        <w:rPr>
          <w:rFonts w:ascii="AvantGarde" w:hAnsi="AvantGarde" w:cs="Arial"/>
          <w:bCs/>
          <w:noProof/>
        </w:rPr>
        <w:t xml:space="preserve"> </w:t>
      </w:r>
      <w:r w:rsidRPr="00D76FF9">
        <w:rPr>
          <w:rFonts w:ascii="AvantGarde" w:hAnsi="AvantGarde" w:cs="Arial"/>
          <w:bCs/>
          <w:i/>
          <w:iCs/>
          <w:noProof/>
          <w:u w:val="single"/>
        </w:rPr>
        <w:t>Practice Points</w:t>
      </w:r>
    </w:p>
    <w:p w14:paraId="55D239BB" w14:textId="7CFDB07E" w:rsidR="00A16C97" w:rsidRPr="00D76FF9" w:rsidRDefault="00A16C97">
      <w:pPr>
        <w:rPr>
          <w:rFonts w:ascii="AvantGarde" w:hAnsi="AvantGarde" w:cs="Arial"/>
          <w:bCs/>
          <w:i/>
          <w:iCs/>
          <w:noProof/>
          <w:u w:val="single"/>
        </w:rPr>
      </w:pPr>
    </w:p>
    <w:p w14:paraId="65EAE053" w14:textId="7600AD21" w:rsidR="00E235A7" w:rsidRPr="00D76FF9" w:rsidRDefault="00F92ADE">
      <w:pPr>
        <w:rPr>
          <w:rFonts w:ascii="AvantGarde" w:hAnsi="AvantGarde" w:cs="Arial"/>
          <w:bCs/>
          <w:noProof/>
        </w:rPr>
      </w:pPr>
      <w:r w:rsidRPr="00D76FF9">
        <w:rPr>
          <w:rFonts w:ascii="AvantGarde" w:hAnsi="AvantGarde" w:cs="Arial"/>
          <w:b/>
          <w:noProof/>
        </w:rPr>
        <w:t xml:space="preserve">How/when </w:t>
      </w:r>
      <w:r w:rsidR="00CA2DDD" w:rsidRPr="00D76FF9">
        <w:rPr>
          <w:rFonts w:ascii="AvantGarde" w:hAnsi="AvantGarde" w:cs="Arial"/>
          <w:b/>
          <w:noProof/>
        </w:rPr>
        <w:t xml:space="preserve">in the life of a case will the questionnaires be </w:t>
      </w:r>
      <w:r w:rsidR="002008A3" w:rsidRPr="00D76FF9">
        <w:rPr>
          <w:rFonts w:ascii="AvantGarde" w:hAnsi="AvantGarde" w:cs="Arial"/>
          <w:b/>
          <w:noProof/>
        </w:rPr>
        <w:t>sent to witnesses</w:t>
      </w:r>
      <w:r w:rsidRPr="00D76FF9">
        <w:rPr>
          <w:rFonts w:ascii="AvantGarde" w:hAnsi="AvantGarde" w:cs="Arial"/>
          <w:b/>
          <w:noProof/>
        </w:rPr>
        <w:t xml:space="preserve">? </w:t>
      </w:r>
      <w:r w:rsidR="00C4469F" w:rsidRPr="00D76FF9">
        <w:rPr>
          <w:rFonts w:ascii="AvantGarde" w:hAnsi="AvantGarde" w:cs="Arial"/>
          <w:bCs/>
          <w:noProof/>
        </w:rPr>
        <w:t>The PA poli</w:t>
      </w:r>
      <w:r w:rsidR="00834BC0" w:rsidRPr="00D76FF9">
        <w:rPr>
          <w:rFonts w:ascii="AvantGarde" w:hAnsi="AvantGarde" w:cs="Arial"/>
          <w:bCs/>
          <w:noProof/>
        </w:rPr>
        <w:t>cy</w:t>
      </w:r>
      <w:r w:rsidR="00C4469F" w:rsidRPr="00D76FF9">
        <w:rPr>
          <w:rFonts w:ascii="AvantGarde" w:hAnsi="AvantGarde" w:cs="Arial"/>
          <w:bCs/>
          <w:noProof/>
        </w:rPr>
        <w:t xml:space="preserve"> will require DPAs/staff to send questionnaires to witnesses</w:t>
      </w:r>
      <w:r w:rsidR="00834BC0" w:rsidRPr="00D76FF9">
        <w:rPr>
          <w:rFonts w:ascii="AvantGarde" w:hAnsi="AvantGarde" w:cs="Arial"/>
          <w:bCs/>
          <w:noProof/>
        </w:rPr>
        <w:t xml:space="preserve"> as soon as it becomes reasonably apparent that a case is headed to trial. </w:t>
      </w:r>
      <w:r w:rsidR="002E0B37" w:rsidRPr="00D76FF9">
        <w:rPr>
          <w:rFonts w:ascii="AvantGarde" w:hAnsi="AvantGarde" w:cs="Arial"/>
          <w:bCs/>
          <w:noProof/>
        </w:rPr>
        <w:t xml:space="preserve">Although </w:t>
      </w:r>
      <w:r w:rsidR="00A632C3" w:rsidRPr="00D76FF9">
        <w:rPr>
          <w:rFonts w:ascii="AvantGarde" w:hAnsi="AvantGarde" w:cs="Arial"/>
          <w:bCs/>
          <w:noProof/>
        </w:rPr>
        <w:t>the</w:t>
      </w:r>
      <w:r w:rsidR="002E0B37" w:rsidRPr="00D76FF9">
        <w:rPr>
          <w:rFonts w:ascii="AvantGarde" w:hAnsi="AvantGarde" w:cs="Arial"/>
          <w:bCs/>
          <w:noProof/>
        </w:rPr>
        <w:t xml:space="preserve"> internal procedures haven’t yet been </w:t>
      </w:r>
      <w:r w:rsidR="0030565D" w:rsidRPr="00D76FF9">
        <w:rPr>
          <w:rFonts w:ascii="AvantGarde" w:hAnsi="AvantGarde" w:cs="Arial"/>
          <w:bCs/>
          <w:noProof/>
        </w:rPr>
        <w:t xml:space="preserve">finalized, </w:t>
      </w:r>
      <w:r w:rsidR="001B1DB6" w:rsidRPr="00D76FF9">
        <w:rPr>
          <w:rFonts w:ascii="AvantGarde" w:hAnsi="AvantGarde" w:cs="Arial"/>
          <w:bCs/>
          <w:noProof/>
        </w:rPr>
        <w:t xml:space="preserve">this will likely coincide with the issuance of subpoenas. </w:t>
      </w:r>
      <w:r w:rsidR="00BD012C" w:rsidRPr="00D76FF9">
        <w:rPr>
          <w:rFonts w:ascii="AvantGarde" w:hAnsi="AvantGarde" w:cs="Arial"/>
          <w:bCs/>
          <w:noProof/>
        </w:rPr>
        <w:t>The</w:t>
      </w:r>
      <w:r w:rsidR="00E3209B" w:rsidRPr="00D76FF9">
        <w:rPr>
          <w:rFonts w:ascii="AvantGarde" w:hAnsi="AvantGarde" w:cs="Arial"/>
          <w:bCs/>
          <w:noProof/>
        </w:rPr>
        <w:t xml:space="preserve"> ques</w:t>
      </w:r>
      <w:r w:rsidR="00E31C7C" w:rsidRPr="00D76FF9">
        <w:rPr>
          <w:rFonts w:ascii="AvantGarde" w:hAnsi="AvantGarde" w:cs="Arial"/>
          <w:bCs/>
          <w:noProof/>
        </w:rPr>
        <w:t>t</w:t>
      </w:r>
      <w:r w:rsidR="00E3209B" w:rsidRPr="00D76FF9">
        <w:rPr>
          <w:rFonts w:ascii="AvantGarde" w:hAnsi="AvantGarde" w:cs="Arial"/>
          <w:bCs/>
          <w:noProof/>
        </w:rPr>
        <w:t>ionnaire</w:t>
      </w:r>
      <w:r w:rsidR="00AA4F17" w:rsidRPr="00D76FF9">
        <w:rPr>
          <w:rFonts w:ascii="AvantGarde" w:hAnsi="AvantGarde" w:cs="Arial"/>
          <w:bCs/>
          <w:noProof/>
        </w:rPr>
        <w:t xml:space="preserve">s </w:t>
      </w:r>
      <w:r w:rsidR="00BD012C" w:rsidRPr="00D76FF9">
        <w:rPr>
          <w:rFonts w:ascii="AvantGarde" w:hAnsi="AvantGarde" w:cs="Arial"/>
          <w:bCs/>
          <w:noProof/>
        </w:rPr>
        <w:t xml:space="preserve">are formatted </w:t>
      </w:r>
      <w:r w:rsidR="004630D5" w:rsidRPr="00D76FF9">
        <w:rPr>
          <w:rFonts w:ascii="AvantGarde" w:hAnsi="AvantGarde" w:cs="Arial"/>
          <w:bCs/>
          <w:noProof/>
        </w:rPr>
        <w:t xml:space="preserve">so that they can be easily completed electronically, so we are </w:t>
      </w:r>
      <w:r w:rsidR="00D85CD5" w:rsidRPr="00D76FF9">
        <w:rPr>
          <w:rFonts w:ascii="AvantGarde" w:hAnsi="AvantGarde" w:cs="Arial"/>
          <w:bCs/>
          <w:noProof/>
        </w:rPr>
        <w:t xml:space="preserve">contemplating sending/receiving them </w:t>
      </w:r>
      <w:r w:rsidR="00C63B39" w:rsidRPr="00D76FF9">
        <w:rPr>
          <w:rFonts w:ascii="AvantGarde" w:hAnsi="AvantGarde" w:cs="Arial"/>
          <w:bCs/>
          <w:noProof/>
        </w:rPr>
        <w:t>primaril</w:t>
      </w:r>
      <w:r w:rsidR="009D2158" w:rsidRPr="00D76FF9">
        <w:rPr>
          <w:rFonts w:ascii="AvantGarde" w:hAnsi="AvantGarde" w:cs="Arial"/>
          <w:bCs/>
          <w:noProof/>
        </w:rPr>
        <w:t xml:space="preserve">y </w:t>
      </w:r>
      <w:r w:rsidR="00D85CD5" w:rsidRPr="00D76FF9">
        <w:rPr>
          <w:rFonts w:ascii="AvantGarde" w:hAnsi="AvantGarde" w:cs="Arial"/>
          <w:bCs/>
          <w:noProof/>
        </w:rPr>
        <w:t xml:space="preserve">via email or through an online application (similar to a Doodle poll). </w:t>
      </w:r>
    </w:p>
    <w:p w14:paraId="45E53B7B" w14:textId="77777777" w:rsidR="00D85CD5" w:rsidRPr="00D76FF9" w:rsidRDefault="00D85CD5">
      <w:pPr>
        <w:rPr>
          <w:rFonts w:ascii="AvantGarde" w:hAnsi="AvantGarde" w:cs="Arial"/>
          <w:bCs/>
          <w:noProof/>
        </w:rPr>
      </w:pPr>
    </w:p>
    <w:p w14:paraId="1EED2ADF" w14:textId="569EA6EF" w:rsidR="002A2986" w:rsidRPr="00D76FF9" w:rsidRDefault="002A2986">
      <w:pPr>
        <w:rPr>
          <w:rFonts w:ascii="AvantGarde" w:hAnsi="AvantGarde" w:cs="Arial"/>
          <w:bCs/>
          <w:noProof/>
        </w:rPr>
      </w:pPr>
      <w:r w:rsidRPr="00D76FF9">
        <w:rPr>
          <w:rFonts w:ascii="AvantGarde" w:hAnsi="AvantGarde" w:cs="Arial"/>
          <w:b/>
          <w:noProof/>
        </w:rPr>
        <w:t xml:space="preserve">What will the PA’s Office do with this information? </w:t>
      </w:r>
      <w:r w:rsidR="002A75D1" w:rsidRPr="00D76FF9">
        <w:rPr>
          <w:rFonts w:ascii="AvantGarde" w:hAnsi="AvantGarde" w:cs="Arial"/>
          <w:bCs/>
          <w:noProof/>
        </w:rPr>
        <w:t xml:space="preserve">Again, </w:t>
      </w:r>
      <w:r w:rsidR="00372E93" w:rsidRPr="00D76FF9">
        <w:rPr>
          <w:rFonts w:ascii="AvantGarde" w:hAnsi="AvantGarde" w:cs="Arial"/>
          <w:bCs/>
          <w:noProof/>
        </w:rPr>
        <w:t>these questionnaires are an extension of our discovery and Brady/PID obligation</w:t>
      </w:r>
      <w:r w:rsidR="00D6229C" w:rsidRPr="00D76FF9">
        <w:rPr>
          <w:rFonts w:ascii="AvantGarde" w:hAnsi="AvantGarde" w:cs="Arial"/>
          <w:bCs/>
          <w:noProof/>
        </w:rPr>
        <w:t xml:space="preserve">s. Therefore, </w:t>
      </w:r>
      <w:r w:rsidR="003317FD" w:rsidRPr="00D76FF9">
        <w:rPr>
          <w:rFonts w:ascii="AvantGarde" w:hAnsi="AvantGarde" w:cs="Arial"/>
          <w:bCs/>
          <w:noProof/>
        </w:rPr>
        <w:t>any information provided in response to these questionnaires will be provided to</w:t>
      </w:r>
      <w:r w:rsidR="00853414" w:rsidRPr="00D76FF9">
        <w:rPr>
          <w:rFonts w:ascii="AvantGarde" w:hAnsi="AvantGarde" w:cs="Arial"/>
          <w:bCs/>
          <w:noProof/>
        </w:rPr>
        <w:t xml:space="preserve"> the defense. </w:t>
      </w:r>
    </w:p>
    <w:p w14:paraId="4AE822A4" w14:textId="4685D069" w:rsidR="0097292B" w:rsidRPr="00D76FF9" w:rsidRDefault="0097292B">
      <w:pPr>
        <w:rPr>
          <w:rFonts w:ascii="AvantGarde" w:hAnsi="AvantGarde" w:cs="Arial"/>
          <w:bCs/>
          <w:noProof/>
        </w:rPr>
      </w:pPr>
    </w:p>
    <w:p w14:paraId="35187888" w14:textId="154127C3" w:rsidR="00ED7FD9" w:rsidRPr="00D76FF9" w:rsidRDefault="005755E0">
      <w:pPr>
        <w:rPr>
          <w:rFonts w:ascii="AvantGarde" w:hAnsi="AvantGarde" w:cs="Arial"/>
          <w:bCs/>
          <w:noProof/>
        </w:rPr>
      </w:pPr>
      <w:r w:rsidRPr="00D76FF9">
        <w:rPr>
          <w:rFonts w:ascii="AvantGarde" w:hAnsi="AvantGarde" w:cs="Arial"/>
          <w:b/>
          <w:noProof/>
        </w:rPr>
        <w:t xml:space="preserve">What happens if a witness refuses to </w:t>
      </w:r>
      <w:r w:rsidR="002E3882" w:rsidRPr="00D76FF9">
        <w:rPr>
          <w:rFonts w:ascii="AvantGarde" w:hAnsi="AvantGarde" w:cs="Arial"/>
          <w:b/>
          <w:noProof/>
        </w:rPr>
        <w:t xml:space="preserve">answer the questions? </w:t>
      </w:r>
      <w:r w:rsidR="00073344" w:rsidRPr="00D76FF9">
        <w:rPr>
          <w:rFonts w:ascii="AvantGarde" w:hAnsi="AvantGarde" w:cs="Arial"/>
          <w:bCs/>
          <w:noProof/>
        </w:rPr>
        <w:t>The</w:t>
      </w:r>
      <w:r w:rsidR="006022E6" w:rsidRPr="00D76FF9">
        <w:rPr>
          <w:rFonts w:ascii="AvantGarde" w:hAnsi="AvantGarde" w:cs="Arial"/>
          <w:bCs/>
          <w:noProof/>
        </w:rPr>
        <w:t>se</w:t>
      </w:r>
      <w:r w:rsidR="00695426" w:rsidRPr="00D76FF9">
        <w:rPr>
          <w:rFonts w:ascii="AvantGarde" w:hAnsi="AvantGarde" w:cs="Arial"/>
          <w:bCs/>
          <w:noProof/>
        </w:rPr>
        <w:t xml:space="preserve"> questionnaires reflect </w:t>
      </w:r>
      <w:r w:rsidR="00D8224C" w:rsidRPr="00D76FF9">
        <w:rPr>
          <w:rFonts w:ascii="AvantGarde" w:hAnsi="AvantGarde" w:cs="Arial"/>
          <w:bCs/>
          <w:noProof/>
        </w:rPr>
        <w:t>the</w:t>
      </w:r>
      <w:r w:rsidR="00695426" w:rsidRPr="00D76FF9">
        <w:rPr>
          <w:rFonts w:ascii="AvantGarde" w:hAnsi="AvantGarde" w:cs="Arial"/>
          <w:bCs/>
          <w:noProof/>
        </w:rPr>
        <w:t xml:space="preserve"> effort</w:t>
      </w:r>
      <w:r w:rsidR="00D8224C" w:rsidRPr="00D76FF9">
        <w:rPr>
          <w:rFonts w:ascii="AvantGarde" w:hAnsi="AvantGarde" w:cs="Arial"/>
          <w:bCs/>
          <w:noProof/>
        </w:rPr>
        <w:t>s</w:t>
      </w:r>
      <w:r w:rsidR="00695426" w:rsidRPr="00D76FF9">
        <w:rPr>
          <w:rFonts w:ascii="AvantGarde" w:hAnsi="AvantGarde" w:cs="Arial"/>
          <w:bCs/>
          <w:noProof/>
        </w:rPr>
        <w:t xml:space="preserve"> by the PA’s Office </w:t>
      </w:r>
      <w:r w:rsidR="00175901" w:rsidRPr="00D76FF9">
        <w:rPr>
          <w:rFonts w:ascii="AvantGarde" w:hAnsi="AvantGarde" w:cs="Arial"/>
          <w:bCs/>
          <w:noProof/>
        </w:rPr>
        <w:t xml:space="preserve">to identify and provide to defense counsel all discovery and Brady/PID information. </w:t>
      </w:r>
      <w:r w:rsidR="00740B54" w:rsidRPr="00D76FF9">
        <w:rPr>
          <w:rFonts w:ascii="AvantGarde" w:hAnsi="AvantGarde" w:cs="Arial"/>
          <w:bCs/>
          <w:noProof/>
        </w:rPr>
        <w:t>The PA’s Office does not, however, have the ability</w:t>
      </w:r>
      <w:r w:rsidR="001D4F13" w:rsidRPr="00D76FF9">
        <w:rPr>
          <w:rFonts w:ascii="AvantGarde" w:hAnsi="AvantGarde" w:cs="Arial"/>
          <w:bCs/>
          <w:noProof/>
        </w:rPr>
        <w:t xml:space="preserve"> or authority to compel witnesses to answer these questions. </w:t>
      </w:r>
      <w:r w:rsidR="00634FCD" w:rsidRPr="00D76FF9">
        <w:rPr>
          <w:rFonts w:ascii="AvantGarde" w:hAnsi="AvantGarde" w:cs="Arial"/>
          <w:bCs/>
          <w:noProof/>
        </w:rPr>
        <w:t xml:space="preserve">If a witness fails to respond to the questionnaire or otherwise declines to </w:t>
      </w:r>
      <w:r w:rsidR="00B41941" w:rsidRPr="00D76FF9">
        <w:rPr>
          <w:rFonts w:ascii="AvantGarde" w:hAnsi="AvantGarde" w:cs="Arial"/>
          <w:bCs/>
          <w:noProof/>
        </w:rPr>
        <w:t xml:space="preserve">answer the questions, the assigned DPA will inform defense counsel </w:t>
      </w:r>
      <w:r w:rsidR="006F5CD3" w:rsidRPr="00D76FF9">
        <w:rPr>
          <w:rFonts w:ascii="AvantGarde" w:hAnsi="AvantGarde" w:cs="Arial"/>
          <w:bCs/>
          <w:noProof/>
        </w:rPr>
        <w:t xml:space="preserve">of that fact and it will then be up to </w:t>
      </w:r>
      <w:r w:rsidR="000B60A8" w:rsidRPr="00D76FF9">
        <w:rPr>
          <w:rFonts w:ascii="AvantGarde" w:hAnsi="AvantGarde" w:cs="Arial"/>
          <w:bCs/>
          <w:noProof/>
        </w:rPr>
        <w:t>defense counsel to decide how to proceed</w:t>
      </w:r>
      <w:r w:rsidR="00290A5E" w:rsidRPr="00D76FF9">
        <w:rPr>
          <w:rFonts w:ascii="AvantGarde" w:hAnsi="AvantGarde" w:cs="Arial"/>
          <w:bCs/>
          <w:noProof/>
        </w:rPr>
        <w:t>—</w:t>
      </w:r>
      <w:r w:rsidR="00514F2C" w:rsidRPr="00D76FF9">
        <w:rPr>
          <w:rFonts w:ascii="AvantGarde" w:hAnsi="AvantGarde" w:cs="Arial"/>
          <w:bCs/>
          <w:noProof/>
        </w:rPr>
        <w:t xml:space="preserve">liklely </w:t>
      </w:r>
      <w:r w:rsidR="00290A5E" w:rsidRPr="00D76FF9">
        <w:rPr>
          <w:rFonts w:ascii="AvantGarde" w:hAnsi="AvantGarde" w:cs="Arial"/>
          <w:bCs/>
          <w:noProof/>
        </w:rPr>
        <w:t xml:space="preserve">either attempting to obtain the information in a defense interview, </w:t>
      </w:r>
      <w:r w:rsidR="00514F2C" w:rsidRPr="00D76FF9">
        <w:rPr>
          <w:rFonts w:ascii="AvantGarde" w:hAnsi="AvantGarde" w:cs="Arial"/>
          <w:bCs/>
          <w:noProof/>
        </w:rPr>
        <w:t xml:space="preserve">filing a motion for a deposition </w:t>
      </w:r>
      <w:r w:rsidR="003F6608" w:rsidRPr="00D76FF9">
        <w:rPr>
          <w:rFonts w:ascii="AvantGarde" w:hAnsi="AvantGarde" w:cs="Arial"/>
          <w:bCs/>
          <w:noProof/>
        </w:rPr>
        <w:t>or a court order</w:t>
      </w:r>
      <w:r w:rsidR="00514F2C" w:rsidRPr="00D76FF9">
        <w:rPr>
          <w:rFonts w:ascii="AvantGarde" w:hAnsi="AvantGarde" w:cs="Arial"/>
          <w:bCs/>
          <w:noProof/>
        </w:rPr>
        <w:t xml:space="preserve"> compel</w:t>
      </w:r>
      <w:r w:rsidR="003F6608" w:rsidRPr="00D76FF9">
        <w:rPr>
          <w:rFonts w:ascii="AvantGarde" w:hAnsi="AvantGarde" w:cs="Arial"/>
          <w:bCs/>
          <w:noProof/>
        </w:rPr>
        <w:t>ling</w:t>
      </w:r>
      <w:r w:rsidR="00514F2C" w:rsidRPr="00D76FF9">
        <w:rPr>
          <w:rFonts w:ascii="AvantGarde" w:hAnsi="AvantGarde" w:cs="Arial"/>
          <w:bCs/>
          <w:noProof/>
        </w:rPr>
        <w:t xml:space="preserve"> a response from the witness</w:t>
      </w:r>
      <w:r w:rsidR="00835496" w:rsidRPr="00D76FF9">
        <w:rPr>
          <w:rFonts w:ascii="AvantGarde" w:hAnsi="AvantGarde" w:cs="Arial"/>
          <w:bCs/>
          <w:noProof/>
        </w:rPr>
        <w:t>, or letting it go</w:t>
      </w:r>
      <w:r w:rsidR="00514F2C" w:rsidRPr="00D76FF9">
        <w:rPr>
          <w:rFonts w:ascii="AvantGarde" w:hAnsi="AvantGarde" w:cs="Arial"/>
          <w:bCs/>
          <w:noProof/>
        </w:rPr>
        <w:t>.</w:t>
      </w:r>
    </w:p>
    <w:p w14:paraId="2DA1EA98" w14:textId="77777777" w:rsidR="00ED7FD9" w:rsidRPr="00D76FF9" w:rsidRDefault="00ED7FD9">
      <w:pPr>
        <w:rPr>
          <w:rFonts w:ascii="AvantGarde" w:hAnsi="AvantGarde" w:cs="Arial"/>
          <w:bCs/>
          <w:noProof/>
        </w:rPr>
      </w:pPr>
    </w:p>
    <w:p w14:paraId="451633E2" w14:textId="339E493A" w:rsidR="000A3A43" w:rsidRPr="00D76FF9" w:rsidRDefault="00ED7FD9">
      <w:pPr>
        <w:rPr>
          <w:rFonts w:ascii="AvantGarde" w:hAnsi="AvantGarde" w:cs="Arial"/>
          <w:bCs/>
          <w:noProof/>
        </w:rPr>
      </w:pPr>
      <w:r w:rsidRPr="00D76FF9">
        <w:rPr>
          <w:rFonts w:ascii="AvantGarde" w:hAnsi="AvantGarde" w:cs="Arial"/>
          <w:b/>
          <w:noProof/>
        </w:rPr>
        <w:t xml:space="preserve">What if </w:t>
      </w:r>
      <w:r w:rsidR="005354C6" w:rsidRPr="00D76FF9">
        <w:rPr>
          <w:rFonts w:ascii="AvantGarde" w:hAnsi="AvantGarde" w:cs="Arial"/>
          <w:b/>
          <w:noProof/>
        </w:rPr>
        <w:t xml:space="preserve">answering the questionnaire requires disclosure of sensitive/personal information? </w:t>
      </w:r>
      <w:r w:rsidR="005354C6" w:rsidRPr="00D76FF9">
        <w:rPr>
          <w:rFonts w:ascii="AvantGarde" w:hAnsi="AvantGarde" w:cs="Arial"/>
          <w:bCs/>
          <w:noProof/>
        </w:rPr>
        <w:t>It is possible that</w:t>
      </w:r>
      <w:r w:rsidR="00A237CB" w:rsidRPr="00D76FF9">
        <w:rPr>
          <w:rFonts w:ascii="AvantGarde" w:hAnsi="AvantGarde" w:cs="Arial"/>
          <w:bCs/>
          <w:noProof/>
        </w:rPr>
        <w:t xml:space="preserve"> truthful responses to the questionnaire may, on occasion, require a witness to disclose sensitive or persona</w:t>
      </w:r>
      <w:r w:rsidR="000866A4" w:rsidRPr="00D76FF9">
        <w:rPr>
          <w:rFonts w:ascii="AvantGarde" w:hAnsi="AvantGarde" w:cs="Arial"/>
          <w:bCs/>
          <w:noProof/>
        </w:rPr>
        <w:t>l information</w:t>
      </w:r>
      <w:r w:rsidR="005F1524" w:rsidRPr="00D76FF9">
        <w:rPr>
          <w:rFonts w:ascii="AvantGarde" w:hAnsi="AvantGarde" w:cs="Arial"/>
          <w:bCs/>
          <w:noProof/>
        </w:rPr>
        <w:t>. If there is some pronounced concern about dissemination of such information</w:t>
      </w:r>
      <w:r w:rsidR="00E1349E" w:rsidRPr="00D76FF9">
        <w:rPr>
          <w:rFonts w:ascii="AvantGarde" w:hAnsi="AvantGarde" w:cs="Arial"/>
          <w:bCs/>
          <w:noProof/>
        </w:rPr>
        <w:t xml:space="preserve">, that should be </w:t>
      </w:r>
      <w:r w:rsidR="003A58D4" w:rsidRPr="00D76FF9">
        <w:rPr>
          <w:rFonts w:ascii="AvantGarde" w:hAnsi="AvantGarde" w:cs="Arial"/>
          <w:bCs/>
          <w:noProof/>
        </w:rPr>
        <w:t xml:space="preserve">communicated to the assigned DPA who can then consider whether </w:t>
      </w:r>
      <w:r w:rsidR="008B4468" w:rsidRPr="00D76FF9">
        <w:rPr>
          <w:rFonts w:ascii="AvantGarde" w:hAnsi="AvantGarde" w:cs="Arial"/>
          <w:bCs/>
          <w:noProof/>
        </w:rPr>
        <w:t xml:space="preserve">to </w:t>
      </w:r>
      <w:r w:rsidR="00246C48" w:rsidRPr="00D76FF9">
        <w:rPr>
          <w:rFonts w:ascii="AvantGarde" w:hAnsi="AvantGarde" w:cs="Arial"/>
          <w:bCs/>
          <w:noProof/>
        </w:rPr>
        <w:t>address the issue with the court in the form of a motion for an in camera review</w:t>
      </w:r>
      <w:r w:rsidR="00403C62" w:rsidRPr="00D76FF9">
        <w:rPr>
          <w:rFonts w:ascii="AvantGarde" w:hAnsi="AvantGarde" w:cs="Arial"/>
          <w:bCs/>
          <w:noProof/>
        </w:rPr>
        <w:t xml:space="preserve"> or for a protective order</w:t>
      </w:r>
      <w:r w:rsidR="000A3A43" w:rsidRPr="00D76FF9">
        <w:rPr>
          <w:rFonts w:ascii="AvantGarde" w:hAnsi="AvantGarde" w:cs="Arial"/>
          <w:bCs/>
          <w:noProof/>
        </w:rPr>
        <w:t>.</w:t>
      </w:r>
    </w:p>
    <w:p w14:paraId="1BD83929" w14:textId="77777777" w:rsidR="000A3A43" w:rsidRPr="00D76FF9" w:rsidRDefault="000A3A43">
      <w:pPr>
        <w:rPr>
          <w:rFonts w:ascii="AvantGarde" w:hAnsi="AvantGarde" w:cs="Arial"/>
          <w:bCs/>
          <w:noProof/>
        </w:rPr>
      </w:pPr>
    </w:p>
    <w:p w14:paraId="67F66466" w14:textId="7E7E2C84" w:rsidR="00695426" w:rsidRPr="00D76FF9" w:rsidRDefault="008D6EA8">
      <w:pPr>
        <w:rPr>
          <w:rFonts w:ascii="AvantGarde" w:hAnsi="AvantGarde" w:cs="Arial"/>
          <w:bCs/>
          <w:noProof/>
        </w:rPr>
      </w:pPr>
      <w:r w:rsidRPr="00D76FF9">
        <w:rPr>
          <w:rFonts w:ascii="AvantGarde" w:hAnsi="AvantGarde" w:cs="Arial"/>
          <w:b/>
          <w:noProof/>
        </w:rPr>
        <w:t>Disclos</w:t>
      </w:r>
      <w:r w:rsidR="002B5575" w:rsidRPr="00D76FF9">
        <w:rPr>
          <w:rFonts w:ascii="AvantGarde" w:hAnsi="AvantGarde" w:cs="Arial"/>
          <w:b/>
          <w:noProof/>
        </w:rPr>
        <w:t xml:space="preserve">ure </w:t>
      </w:r>
      <w:r w:rsidR="00801C61" w:rsidRPr="00D76FF9">
        <w:rPr>
          <w:rFonts w:ascii="AvantGarde" w:hAnsi="AvantGarde" w:cs="Arial"/>
          <w:b/>
          <w:noProof/>
        </w:rPr>
        <w:t xml:space="preserve">in discovery is not the same as relevant and admissible at trial. </w:t>
      </w:r>
      <w:r w:rsidR="00801C61" w:rsidRPr="00D76FF9">
        <w:rPr>
          <w:rFonts w:ascii="AvantGarde" w:hAnsi="AvantGarde" w:cs="Arial"/>
          <w:bCs/>
          <w:noProof/>
        </w:rPr>
        <w:t xml:space="preserve">It important to remember that </w:t>
      </w:r>
      <w:r w:rsidR="00B92B81" w:rsidRPr="00D76FF9">
        <w:rPr>
          <w:rFonts w:ascii="AvantGarde" w:hAnsi="AvantGarde" w:cs="Arial"/>
          <w:bCs/>
          <w:noProof/>
        </w:rPr>
        <w:t xml:space="preserve">our discovery and Brady/PID obligations are much more broad than </w:t>
      </w:r>
      <w:r w:rsidR="00047ECF" w:rsidRPr="00D76FF9">
        <w:rPr>
          <w:rFonts w:ascii="AvantGarde" w:hAnsi="AvantGarde" w:cs="Arial"/>
          <w:bCs/>
          <w:noProof/>
        </w:rPr>
        <w:t xml:space="preserve">the evidence rules dictating relevance and admissibility at trial. </w:t>
      </w:r>
      <w:r w:rsidR="0001047A" w:rsidRPr="00D76FF9">
        <w:rPr>
          <w:rFonts w:ascii="AvantGarde" w:hAnsi="AvantGarde" w:cs="Arial"/>
          <w:bCs/>
          <w:noProof/>
        </w:rPr>
        <w:t xml:space="preserve">In practice, this means that </w:t>
      </w:r>
      <w:r w:rsidR="00067FF5" w:rsidRPr="00D76FF9">
        <w:rPr>
          <w:rFonts w:ascii="AvantGarde" w:hAnsi="AvantGarde" w:cs="Arial"/>
          <w:bCs/>
          <w:noProof/>
        </w:rPr>
        <w:t>in many cases</w:t>
      </w:r>
      <w:r w:rsidR="009211E3" w:rsidRPr="00D76FF9">
        <w:rPr>
          <w:rFonts w:ascii="AvantGarde" w:hAnsi="AvantGarde" w:cs="Arial"/>
          <w:bCs/>
          <w:noProof/>
        </w:rPr>
        <w:t xml:space="preserve"> Brady/PID information </w:t>
      </w:r>
      <w:r w:rsidR="00067FF5" w:rsidRPr="00D76FF9">
        <w:rPr>
          <w:rFonts w:ascii="AvantGarde" w:hAnsi="AvantGarde" w:cs="Arial"/>
          <w:bCs/>
          <w:noProof/>
        </w:rPr>
        <w:t xml:space="preserve">is provided to the defense but never </w:t>
      </w:r>
      <w:r w:rsidR="00A57A7F" w:rsidRPr="00D76FF9">
        <w:rPr>
          <w:rFonts w:ascii="AvantGarde" w:hAnsi="AvantGarde" w:cs="Arial"/>
          <w:bCs/>
          <w:noProof/>
        </w:rPr>
        <w:t xml:space="preserve">introduced at trial. </w:t>
      </w:r>
      <w:r w:rsidR="00514F2C" w:rsidRPr="00D76FF9">
        <w:rPr>
          <w:rFonts w:ascii="AvantGarde" w:hAnsi="AvantGarde" w:cs="Arial"/>
          <w:bCs/>
          <w:noProof/>
        </w:rPr>
        <w:t xml:space="preserve"> </w:t>
      </w:r>
      <w:r w:rsidR="00290A5E" w:rsidRPr="00D76FF9">
        <w:rPr>
          <w:rFonts w:ascii="AvantGarde" w:hAnsi="AvantGarde" w:cs="Arial"/>
          <w:bCs/>
          <w:noProof/>
        </w:rPr>
        <w:t xml:space="preserve"> </w:t>
      </w:r>
    </w:p>
    <w:p w14:paraId="497EBB50" w14:textId="1DE4D38A" w:rsidR="005C2081" w:rsidRPr="00D76FF9" w:rsidRDefault="005C2081" w:rsidP="005C2081">
      <w:pPr>
        <w:rPr>
          <w:rFonts w:ascii="AvantGarde" w:hAnsi="AvantGarde" w:cs="Arial"/>
          <w:bCs/>
          <w:noProof/>
        </w:rPr>
      </w:pPr>
    </w:p>
    <w:p w14:paraId="6E94290D" w14:textId="282FE4FC" w:rsidR="005C2081" w:rsidRPr="00D76FF9" w:rsidRDefault="005C2081" w:rsidP="005C2081">
      <w:pPr>
        <w:rPr>
          <w:rFonts w:ascii="AvantGarde" w:hAnsi="AvantGarde" w:cs="Arial"/>
          <w:i/>
          <w:iCs/>
          <w:u w:val="single"/>
        </w:rPr>
      </w:pPr>
      <w:r w:rsidRPr="00D76FF9">
        <w:rPr>
          <w:rFonts w:ascii="AvantGarde" w:hAnsi="AvantGarde" w:cs="Arial"/>
          <w:i/>
          <w:iCs/>
          <w:u w:val="single"/>
        </w:rPr>
        <w:t>Conclusion</w:t>
      </w:r>
    </w:p>
    <w:p w14:paraId="50706000" w14:textId="5C651B7E" w:rsidR="005C2081" w:rsidRPr="00D76FF9" w:rsidRDefault="005C2081" w:rsidP="005C2081">
      <w:pPr>
        <w:rPr>
          <w:rFonts w:ascii="AvantGarde" w:hAnsi="AvantGarde" w:cs="Arial"/>
          <w:i/>
          <w:iCs/>
          <w:u w:val="single"/>
        </w:rPr>
      </w:pPr>
    </w:p>
    <w:p w14:paraId="2DDC9EEB" w14:textId="61D159AF" w:rsidR="005C2081" w:rsidRPr="00D76FF9" w:rsidRDefault="00F817CF" w:rsidP="005C2081">
      <w:pPr>
        <w:rPr>
          <w:rFonts w:ascii="AvantGarde" w:hAnsi="AvantGarde" w:cs="Arial"/>
        </w:rPr>
      </w:pPr>
      <w:r w:rsidRPr="00D76FF9">
        <w:rPr>
          <w:rFonts w:ascii="AvantGarde" w:hAnsi="AvantGarde" w:cs="Arial"/>
        </w:rPr>
        <w:t>While it is true that this new practice will cause some extra work for PA</w:t>
      </w:r>
      <w:r w:rsidR="00F87CC0" w:rsidRPr="00D76FF9">
        <w:rPr>
          <w:rFonts w:ascii="AvantGarde" w:hAnsi="AvantGarde" w:cs="Arial"/>
        </w:rPr>
        <w:t xml:space="preserve"> employees and witnesses, </w:t>
      </w:r>
      <w:r w:rsidR="002B2E13" w:rsidRPr="00D76FF9">
        <w:rPr>
          <w:rFonts w:ascii="AvantGarde" w:hAnsi="AvantGarde" w:cs="Arial"/>
        </w:rPr>
        <w:t xml:space="preserve">the payoff will be </w:t>
      </w:r>
      <w:r w:rsidR="006F0E6E" w:rsidRPr="00D76FF9">
        <w:rPr>
          <w:rFonts w:ascii="AvantGarde" w:hAnsi="AvantGarde" w:cs="Arial"/>
        </w:rPr>
        <w:t xml:space="preserve">in reducing </w:t>
      </w:r>
      <w:r w:rsidR="00743830" w:rsidRPr="00D76FF9">
        <w:rPr>
          <w:rFonts w:ascii="AvantGarde" w:hAnsi="AvantGarde" w:cs="Arial"/>
        </w:rPr>
        <w:t xml:space="preserve">the likelihood of adverse </w:t>
      </w:r>
      <w:r w:rsidR="001E7D85" w:rsidRPr="00D76FF9">
        <w:rPr>
          <w:rFonts w:ascii="AvantGarde" w:hAnsi="AvantGarde" w:cs="Arial"/>
        </w:rPr>
        <w:t xml:space="preserve">case </w:t>
      </w:r>
      <w:r w:rsidR="00743830" w:rsidRPr="00D76FF9">
        <w:rPr>
          <w:rFonts w:ascii="AvantGarde" w:hAnsi="AvantGarde" w:cs="Arial"/>
        </w:rPr>
        <w:t xml:space="preserve">outcomes resulting from inadvertent discovery violations. </w:t>
      </w:r>
      <w:r w:rsidR="001E7D85" w:rsidRPr="00D76FF9">
        <w:rPr>
          <w:rFonts w:ascii="AvantGarde" w:hAnsi="AvantGarde" w:cs="Arial"/>
        </w:rPr>
        <w:t xml:space="preserve">Please feel free to contact me if you have any questions. </w:t>
      </w:r>
    </w:p>
    <w:sectPr w:rsidR="005C2081" w:rsidRPr="00D76FF9" w:rsidSect="006014CF">
      <w:footerReference w:type="default" r:id="rId10"/>
      <w:pgSz w:w="12240" w:h="15840"/>
      <w:pgMar w:top="720" w:right="1080" w:bottom="72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7703" w14:textId="77777777" w:rsidR="000945B6" w:rsidRDefault="000945B6" w:rsidP="00965082">
      <w:r>
        <w:separator/>
      </w:r>
    </w:p>
  </w:endnote>
  <w:endnote w:type="continuationSeparator" w:id="0">
    <w:p w14:paraId="16002396" w14:textId="77777777" w:rsidR="000945B6" w:rsidRDefault="000945B6" w:rsidP="0096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18" w:type="dxa"/>
      <w:tblBorders>
        <w:top w:val="single" w:sz="4" w:space="0" w:color="auto"/>
      </w:tblBorders>
      <w:tblLook w:val="01E0" w:firstRow="1" w:lastRow="1" w:firstColumn="1" w:lastColumn="1" w:noHBand="0" w:noVBand="0"/>
    </w:tblPr>
    <w:tblGrid>
      <w:gridCol w:w="3210"/>
      <w:gridCol w:w="3210"/>
      <w:gridCol w:w="3210"/>
    </w:tblGrid>
    <w:tr w:rsidR="004A3E87" w14:paraId="1318B8FF" w14:textId="77777777" w:rsidTr="003067AC">
      <w:trPr>
        <w:trHeight w:val="1160"/>
      </w:trPr>
      <w:tc>
        <w:tcPr>
          <w:tcW w:w="3210" w:type="dxa"/>
        </w:tcPr>
        <w:p w14:paraId="5714C5E5" w14:textId="77777777" w:rsidR="004A3E87" w:rsidRDefault="000945B6" w:rsidP="004A3E87">
          <w:pPr>
            <w:rPr>
              <w:rFonts w:ascii="Verdana" w:hAnsi="Verdana"/>
              <w:sz w:val="8"/>
              <w:szCs w:val="8"/>
            </w:rPr>
          </w:pPr>
        </w:p>
        <w:p w14:paraId="52F8CC97" w14:textId="77777777" w:rsidR="004A3E87" w:rsidRDefault="00C17F5F" w:rsidP="004A3E87">
          <w:pPr>
            <w:rPr>
              <w:rFonts w:ascii="Verdana" w:hAnsi="Verdana"/>
              <w:sz w:val="16"/>
              <w:szCs w:val="16"/>
            </w:rPr>
          </w:pPr>
          <w:r>
            <w:rPr>
              <w:rFonts w:ascii="Verdana" w:hAnsi="Verdana"/>
              <w:sz w:val="16"/>
              <w:szCs w:val="16"/>
            </w:rPr>
            <w:t>Administration Division</w:t>
          </w:r>
        </w:p>
        <w:p w14:paraId="2DCD9400" w14:textId="77777777" w:rsidR="004A3E87" w:rsidRDefault="00C17F5F" w:rsidP="004A3E87">
          <w:pPr>
            <w:rPr>
              <w:rFonts w:ascii="Verdana" w:hAnsi="Verdana"/>
              <w:sz w:val="16"/>
              <w:szCs w:val="16"/>
            </w:rPr>
          </w:pPr>
          <w:r>
            <w:rPr>
              <w:rFonts w:ascii="Verdana" w:hAnsi="Verdana"/>
              <w:sz w:val="16"/>
              <w:szCs w:val="16"/>
            </w:rPr>
            <w:t>Michael C Held, Chief of Staff</w:t>
          </w:r>
        </w:p>
        <w:p w14:paraId="42B380FE" w14:textId="77777777" w:rsidR="004A3E87" w:rsidRDefault="00C17F5F" w:rsidP="004A3E87">
          <w:pPr>
            <w:rPr>
              <w:rFonts w:ascii="Verdana" w:hAnsi="Verdana"/>
              <w:sz w:val="16"/>
              <w:szCs w:val="16"/>
            </w:rPr>
          </w:pPr>
          <w:r>
            <w:rPr>
              <w:rFonts w:ascii="Verdana" w:hAnsi="Verdana"/>
              <w:sz w:val="16"/>
              <w:szCs w:val="16"/>
            </w:rPr>
            <w:t>Robert J. Drewel Bldg., 7</w:t>
          </w:r>
          <w:r w:rsidRPr="00C2738C">
            <w:rPr>
              <w:rFonts w:ascii="Verdana" w:hAnsi="Verdana"/>
              <w:sz w:val="16"/>
              <w:szCs w:val="16"/>
              <w:vertAlign w:val="superscript"/>
            </w:rPr>
            <w:t>th</w:t>
          </w:r>
          <w:r>
            <w:rPr>
              <w:rFonts w:ascii="Verdana" w:hAnsi="Verdana"/>
              <w:sz w:val="16"/>
              <w:szCs w:val="16"/>
            </w:rPr>
            <w:t xml:space="preserve"> Floor</w:t>
          </w:r>
        </w:p>
        <w:p w14:paraId="7B686491" w14:textId="77777777" w:rsidR="004A3E87" w:rsidRDefault="00C17F5F" w:rsidP="004A3E87">
          <w:pPr>
            <w:rPr>
              <w:rFonts w:ascii="Verdana" w:hAnsi="Verdana"/>
              <w:sz w:val="16"/>
              <w:szCs w:val="16"/>
            </w:rPr>
          </w:pPr>
          <w:r>
            <w:rPr>
              <w:rFonts w:ascii="Verdana" w:hAnsi="Verdana"/>
              <w:sz w:val="16"/>
              <w:szCs w:val="16"/>
            </w:rPr>
            <w:t>(425) 388-7002</w:t>
          </w:r>
        </w:p>
        <w:p w14:paraId="6EE6F5C6" w14:textId="77777777" w:rsidR="004A3E87" w:rsidRDefault="00C17F5F" w:rsidP="004A3E87">
          <w:pPr>
            <w:rPr>
              <w:rFonts w:ascii="Verdana" w:hAnsi="Verdana"/>
              <w:sz w:val="16"/>
              <w:szCs w:val="16"/>
            </w:rPr>
          </w:pPr>
          <w:r>
            <w:rPr>
              <w:rFonts w:ascii="Verdana" w:hAnsi="Verdana"/>
              <w:sz w:val="16"/>
              <w:szCs w:val="16"/>
            </w:rPr>
            <w:t>Fax (425) 388-3083</w:t>
          </w:r>
        </w:p>
      </w:tc>
      <w:tc>
        <w:tcPr>
          <w:tcW w:w="3210" w:type="dxa"/>
        </w:tcPr>
        <w:p w14:paraId="2D6FAABC" w14:textId="77777777" w:rsidR="004A3E87" w:rsidRDefault="000945B6" w:rsidP="004A3E87">
          <w:pPr>
            <w:rPr>
              <w:rFonts w:ascii="Verdana" w:hAnsi="Verdana"/>
              <w:sz w:val="8"/>
              <w:szCs w:val="8"/>
            </w:rPr>
          </w:pPr>
        </w:p>
        <w:p w14:paraId="2FF5C73D" w14:textId="77777777" w:rsidR="004A3E87" w:rsidRDefault="00C17F5F" w:rsidP="004A3E87">
          <w:pPr>
            <w:rPr>
              <w:rFonts w:ascii="Verdana" w:hAnsi="Verdana"/>
              <w:sz w:val="16"/>
              <w:szCs w:val="16"/>
            </w:rPr>
          </w:pPr>
          <w:r>
            <w:rPr>
              <w:rFonts w:ascii="Verdana" w:hAnsi="Verdana"/>
              <w:sz w:val="16"/>
              <w:szCs w:val="16"/>
            </w:rPr>
            <w:t>Civil Division</w:t>
          </w:r>
        </w:p>
        <w:p w14:paraId="02E939F1" w14:textId="77777777" w:rsidR="004A3E87" w:rsidRDefault="00C17F5F" w:rsidP="004A3E87">
          <w:pPr>
            <w:rPr>
              <w:rFonts w:ascii="Verdana" w:hAnsi="Verdana"/>
              <w:sz w:val="16"/>
              <w:szCs w:val="16"/>
            </w:rPr>
          </w:pPr>
          <w:r>
            <w:rPr>
              <w:rFonts w:ascii="Verdana" w:hAnsi="Verdana"/>
              <w:sz w:val="16"/>
              <w:szCs w:val="16"/>
            </w:rPr>
            <w:t>Jason J. Cummings, Chief Deputy</w:t>
          </w:r>
        </w:p>
        <w:p w14:paraId="486090AB" w14:textId="77777777" w:rsidR="004A3E87" w:rsidRDefault="00C17F5F" w:rsidP="004A3E87">
          <w:pPr>
            <w:rPr>
              <w:rFonts w:ascii="Verdana" w:hAnsi="Verdana"/>
              <w:sz w:val="16"/>
              <w:szCs w:val="16"/>
            </w:rPr>
          </w:pPr>
          <w:r>
            <w:rPr>
              <w:rFonts w:ascii="Verdana" w:hAnsi="Verdana"/>
              <w:sz w:val="16"/>
              <w:szCs w:val="16"/>
            </w:rPr>
            <w:t>Robert J. Drewel Bldg., 8</w:t>
          </w:r>
          <w:r w:rsidRPr="00C2738C">
            <w:rPr>
              <w:rFonts w:ascii="Verdana" w:hAnsi="Verdana"/>
              <w:sz w:val="16"/>
              <w:szCs w:val="16"/>
              <w:vertAlign w:val="superscript"/>
            </w:rPr>
            <w:t>th</w:t>
          </w:r>
          <w:r>
            <w:rPr>
              <w:rFonts w:ascii="Verdana" w:hAnsi="Verdana"/>
              <w:sz w:val="16"/>
              <w:szCs w:val="16"/>
            </w:rPr>
            <w:t xml:space="preserve"> Floor</w:t>
          </w:r>
        </w:p>
        <w:p w14:paraId="3B9AB9DA" w14:textId="77777777" w:rsidR="004A3E87" w:rsidRDefault="00C17F5F" w:rsidP="004A3E87">
          <w:pPr>
            <w:tabs>
              <w:tab w:val="left" w:pos="2540"/>
            </w:tabs>
            <w:rPr>
              <w:rFonts w:ascii="Verdana" w:hAnsi="Verdana"/>
              <w:sz w:val="16"/>
              <w:szCs w:val="16"/>
            </w:rPr>
          </w:pPr>
          <w:r>
            <w:rPr>
              <w:rFonts w:ascii="Verdana" w:hAnsi="Verdana"/>
              <w:sz w:val="16"/>
              <w:szCs w:val="16"/>
            </w:rPr>
            <w:t>(425) 388-6330</w:t>
          </w:r>
        </w:p>
        <w:p w14:paraId="39D8C6D9" w14:textId="77777777" w:rsidR="004A3E87" w:rsidRDefault="00C17F5F" w:rsidP="004A3E87">
          <w:pPr>
            <w:tabs>
              <w:tab w:val="left" w:pos="2540"/>
            </w:tabs>
            <w:rPr>
              <w:rFonts w:ascii="Verdana" w:hAnsi="Verdana"/>
              <w:sz w:val="16"/>
              <w:szCs w:val="16"/>
            </w:rPr>
          </w:pPr>
          <w:r>
            <w:rPr>
              <w:rFonts w:ascii="Verdana" w:hAnsi="Verdana"/>
              <w:sz w:val="16"/>
              <w:szCs w:val="16"/>
            </w:rPr>
            <w:t>Fax (425) 388-6333</w:t>
          </w:r>
        </w:p>
      </w:tc>
      <w:tc>
        <w:tcPr>
          <w:tcW w:w="3210" w:type="dxa"/>
        </w:tcPr>
        <w:p w14:paraId="4C5146D4" w14:textId="77777777" w:rsidR="004A3E87" w:rsidRDefault="000945B6" w:rsidP="004A3E87">
          <w:pPr>
            <w:rPr>
              <w:rFonts w:ascii="Verdana" w:hAnsi="Verdana"/>
              <w:sz w:val="8"/>
              <w:szCs w:val="8"/>
            </w:rPr>
          </w:pPr>
        </w:p>
        <w:p w14:paraId="6516FE3E" w14:textId="77777777" w:rsidR="004A3E87" w:rsidRDefault="00C17F5F" w:rsidP="004A3E87">
          <w:pPr>
            <w:rPr>
              <w:rFonts w:ascii="Verdana" w:hAnsi="Verdana"/>
              <w:sz w:val="16"/>
              <w:szCs w:val="16"/>
            </w:rPr>
          </w:pPr>
          <w:r>
            <w:rPr>
              <w:rFonts w:ascii="Verdana" w:hAnsi="Verdana"/>
              <w:sz w:val="16"/>
              <w:szCs w:val="16"/>
            </w:rPr>
            <w:t>Family Support Division</w:t>
          </w:r>
        </w:p>
        <w:p w14:paraId="3E247873" w14:textId="77777777" w:rsidR="0063030F" w:rsidRDefault="00C17F5F" w:rsidP="0063030F">
          <w:pPr>
            <w:rPr>
              <w:rFonts w:ascii="Verdana" w:hAnsi="Verdana"/>
              <w:sz w:val="16"/>
              <w:szCs w:val="16"/>
            </w:rPr>
          </w:pPr>
          <w:r>
            <w:rPr>
              <w:rFonts w:ascii="Verdana" w:hAnsi="Verdana"/>
              <w:sz w:val="16"/>
              <w:szCs w:val="16"/>
            </w:rPr>
            <w:t>Julie Mohr, Chief Deputy</w:t>
          </w:r>
        </w:p>
        <w:p w14:paraId="182DAB26" w14:textId="77777777" w:rsidR="004A3E87" w:rsidRDefault="00C17F5F" w:rsidP="004A3E87">
          <w:pPr>
            <w:rPr>
              <w:rFonts w:ascii="Verdana" w:hAnsi="Verdana"/>
              <w:sz w:val="16"/>
              <w:szCs w:val="16"/>
            </w:rPr>
          </w:pPr>
          <w:r>
            <w:rPr>
              <w:rFonts w:ascii="Verdana" w:hAnsi="Verdana"/>
              <w:sz w:val="16"/>
              <w:szCs w:val="16"/>
            </w:rPr>
            <w:t>Robert J. Drewel Bldg., 6</w:t>
          </w:r>
          <w:r w:rsidRPr="00C2738C">
            <w:rPr>
              <w:rFonts w:ascii="Verdana" w:hAnsi="Verdana"/>
              <w:sz w:val="16"/>
              <w:szCs w:val="16"/>
              <w:vertAlign w:val="superscript"/>
            </w:rPr>
            <w:t>th</w:t>
          </w:r>
          <w:r>
            <w:rPr>
              <w:rFonts w:ascii="Verdana" w:hAnsi="Verdana"/>
              <w:sz w:val="16"/>
              <w:szCs w:val="16"/>
            </w:rPr>
            <w:t xml:space="preserve"> Floor</w:t>
          </w:r>
        </w:p>
        <w:p w14:paraId="2B0B7C57" w14:textId="77777777" w:rsidR="004A3E87" w:rsidRDefault="00C17F5F" w:rsidP="004A3E87">
          <w:pPr>
            <w:rPr>
              <w:rFonts w:ascii="Verdana" w:hAnsi="Verdana"/>
              <w:sz w:val="16"/>
              <w:szCs w:val="16"/>
            </w:rPr>
          </w:pPr>
          <w:r>
            <w:rPr>
              <w:rFonts w:ascii="Verdana" w:hAnsi="Verdana"/>
              <w:sz w:val="16"/>
              <w:szCs w:val="16"/>
            </w:rPr>
            <w:t>(425) 388-7280</w:t>
          </w:r>
        </w:p>
        <w:p w14:paraId="72ADDD89" w14:textId="77777777" w:rsidR="004A3E87" w:rsidRDefault="00C17F5F" w:rsidP="004A3E87">
          <w:pPr>
            <w:rPr>
              <w:rFonts w:ascii="Verdana" w:hAnsi="Verdana"/>
              <w:sz w:val="16"/>
              <w:szCs w:val="16"/>
            </w:rPr>
          </w:pPr>
          <w:r>
            <w:rPr>
              <w:rFonts w:ascii="Verdana" w:hAnsi="Verdana"/>
              <w:sz w:val="16"/>
              <w:szCs w:val="16"/>
            </w:rPr>
            <w:t>Fax (425) 388-7295</w:t>
          </w:r>
        </w:p>
      </w:tc>
    </w:tr>
  </w:tbl>
  <w:p w14:paraId="367DDB97" w14:textId="77777777" w:rsidR="003B10BB" w:rsidRPr="00CA2B97" w:rsidRDefault="000945B6" w:rsidP="006014C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CB9B" w14:textId="77777777" w:rsidR="000945B6" w:rsidRDefault="000945B6" w:rsidP="00965082">
      <w:r>
        <w:separator/>
      </w:r>
    </w:p>
  </w:footnote>
  <w:footnote w:type="continuationSeparator" w:id="0">
    <w:p w14:paraId="5D00760F" w14:textId="77777777" w:rsidR="000945B6" w:rsidRDefault="000945B6" w:rsidP="00965082">
      <w:r>
        <w:continuationSeparator/>
      </w:r>
    </w:p>
  </w:footnote>
  <w:footnote w:id="1">
    <w:p w14:paraId="20BB9375" w14:textId="77777777" w:rsidR="00965082" w:rsidRPr="0090765B" w:rsidRDefault="00965082" w:rsidP="00965082">
      <w:pPr>
        <w:pStyle w:val="FootnoteText"/>
        <w:rPr>
          <w:rFonts w:ascii="AvantGarde" w:hAnsi="AvantGarde"/>
        </w:rPr>
      </w:pPr>
      <w:r w:rsidRPr="0090765B">
        <w:rPr>
          <w:rStyle w:val="FootnoteReference"/>
          <w:rFonts w:ascii="AvantGarde" w:hAnsi="AvantGarde"/>
        </w:rPr>
        <w:footnoteRef/>
      </w:r>
      <w:r w:rsidRPr="0090765B">
        <w:rPr>
          <w:rFonts w:ascii="AvantGarde" w:hAnsi="AvantGarde"/>
        </w:rPr>
        <w:t xml:space="preserve"> “Prosecution team” includes all employees of the prosecutor’s office, officers and all employees of a police agency, and forensic scientists and all employees of a government laboratory.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82"/>
    <w:rsid w:val="0001047A"/>
    <w:rsid w:val="00020FA4"/>
    <w:rsid w:val="00041DCB"/>
    <w:rsid w:val="00047ECF"/>
    <w:rsid w:val="00057E62"/>
    <w:rsid w:val="00067FF5"/>
    <w:rsid w:val="00073344"/>
    <w:rsid w:val="000866A4"/>
    <w:rsid w:val="000945B6"/>
    <w:rsid w:val="000A3A43"/>
    <w:rsid w:val="000B60A8"/>
    <w:rsid w:val="000D2CDC"/>
    <w:rsid w:val="000F5E9A"/>
    <w:rsid w:val="00103ECD"/>
    <w:rsid w:val="00114E27"/>
    <w:rsid w:val="00175901"/>
    <w:rsid w:val="001A26C4"/>
    <w:rsid w:val="001B1DB6"/>
    <w:rsid w:val="001D4F13"/>
    <w:rsid w:val="001E7D85"/>
    <w:rsid w:val="002008A3"/>
    <w:rsid w:val="00246C48"/>
    <w:rsid w:val="00264F8A"/>
    <w:rsid w:val="00290A5E"/>
    <w:rsid w:val="002A2986"/>
    <w:rsid w:val="002A59D4"/>
    <w:rsid w:val="002A75D1"/>
    <w:rsid w:val="002B2E13"/>
    <w:rsid w:val="002B5575"/>
    <w:rsid w:val="002E0540"/>
    <w:rsid w:val="002E0B37"/>
    <w:rsid w:val="002E1C57"/>
    <w:rsid w:val="002E3882"/>
    <w:rsid w:val="002F1DB7"/>
    <w:rsid w:val="002F57DF"/>
    <w:rsid w:val="0030565D"/>
    <w:rsid w:val="00307ABD"/>
    <w:rsid w:val="003317FD"/>
    <w:rsid w:val="00343916"/>
    <w:rsid w:val="00372E93"/>
    <w:rsid w:val="0038554A"/>
    <w:rsid w:val="003A10F0"/>
    <w:rsid w:val="003A58D4"/>
    <w:rsid w:val="003F6608"/>
    <w:rsid w:val="00403C62"/>
    <w:rsid w:val="00416A07"/>
    <w:rsid w:val="00424B4A"/>
    <w:rsid w:val="004630D5"/>
    <w:rsid w:val="004B7D1F"/>
    <w:rsid w:val="004C7803"/>
    <w:rsid w:val="004D103C"/>
    <w:rsid w:val="004D3CF4"/>
    <w:rsid w:val="00514F2C"/>
    <w:rsid w:val="005214C8"/>
    <w:rsid w:val="005354C6"/>
    <w:rsid w:val="005755E0"/>
    <w:rsid w:val="005960C5"/>
    <w:rsid w:val="005979DB"/>
    <w:rsid w:val="005A6D30"/>
    <w:rsid w:val="005C2081"/>
    <w:rsid w:val="005E4087"/>
    <w:rsid w:val="005F1524"/>
    <w:rsid w:val="006022E6"/>
    <w:rsid w:val="00634FCD"/>
    <w:rsid w:val="00641491"/>
    <w:rsid w:val="00695426"/>
    <w:rsid w:val="006D6313"/>
    <w:rsid w:val="006F0E6E"/>
    <w:rsid w:val="006F5CD3"/>
    <w:rsid w:val="00740B54"/>
    <w:rsid w:val="00743830"/>
    <w:rsid w:val="00744ACE"/>
    <w:rsid w:val="0076605C"/>
    <w:rsid w:val="007754A0"/>
    <w:rsid w:val="007C4FC6"/>
    <w:rsid w:val="007F019E"/>
    <w:rsid w:val="007F5CDD"/>
    <w:rsid w:val="00801C61"/>
    <w:rsid w:val="00834BC0"/>
    <w:rsid w:val="00835496"/>
    <w:rsid w:val="00853414"/>
    <w:rsid w:val="0088748F"/>
    <w:rsid w:val="008B0D40"/>
    <w:rsid w:val="008B4468"/>
    <w:rsid w:val="008D6EA8"/>
    <w:rsid w:val="00911934"/>
    <w:rsid w:val="009211E3"/>
    <w:rsid w:val="00965082"/>
    <w:rsid w:val="0097292B"/>
    <w:rsid w:val="009B3C79"/>
    <w:rsid w:val="009D2158"/>
    <w:rsid w:val="009F2E0F"/>
    <w:rsid w:val="00A16C97"/>
    <w:rsid w:val="00A237CB"/>
    <w:rsid w:val="00A57A7F"/>
    <w:rsid w:val="00A632C3"/>
    <w:rsid w:val="00AA4F17"/>
    <w:rsid w:val="00B07220"/>
    <w:rsid w:val="00B31BDD"/>
    <w:rsid w:val="00B41941"/>
    <w:rsid w:val="00B53F54"/>
    <w:rsid w:val="00B628EE"/>
    <w:rsid w:val="00B8409A"/>
    <w:rsid w:val="00B868FF"/>
    <w:rsid w:val="00B92B81"/>
    <w:rsid w:val="00BD012C"/>
    <w:rsid w:val="00C17F5F"/>
    <w:rsid w:val="00C25E6D"/>
    <w:rsid w:val="00C372EE"/>
    <w:rsid w:val="00C4469F"/>
    <w:rsid w:val="00C5466B"/>
    <w:rsid w:val="00C57658"/>
    <w:rsid w:val="00C611FE"/>
    <w:rsid w:val="00C63B39"/>
    <w:rsid w:val="00C77343"/>
    <w:rsid w:val="00CA2DDD"/>
    <w:rsid w:val="00CF4E79"/>
    <w:rsid w:val="00D30252"/>
    <w:rsid w:val="00D6229C"/>
    <w:rsid w:val="00D76FF9"/>
    <w:rsid w:val="00D8224C"/>
    <w:rsid w:val="00D85CD5"/>
    <w:rsid w:val="00DB118B"/>
    <w:rsid w:val="00E1349E"/>
    <w:rsid w:val="00E235A7"/>
    <w:rsid w:val="00E31C7C"/>
    <w:rsid w:val="00E3209B"/>
    <w:rsid w:val="00E7135B"/>
    <w:rsid w:val="00E71D8D"/>
    <w:rsid w:val="00E96783"/>
    <w:rsid w:val="00ED7FD9"/>
    <w:rsid w:val="00EE7805"/>
    <w:rsid w:val="00F75B19"/>
    <w:rsid w:val="00F817CF"/>
    <w:rsid w:val="00F87CC0"/>
    <w:rsid w:val="00F92ADE"/>
    <w:rsid w:val="00FA081D"/>
    <w:rsid w:val="00FA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882B"/>
  <w15:chartTrackingRefBased/>
  <w15:docId w15:val="{60955312-53F5-4868-A888-032F25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082"/>
    <w:pPr>
      <w:tabs>
        <w:tab w:val="center" w:pos="4320"/>
        <w:tab w:val="right" w:pos="8640"/>
      </w:tabs>
    </w:pPr>
  </w:style>
  <w:style w:type="character" w:customStyle="1" w:styleId="FooterChar">
    <w:name w:val="Footer Char"/>
    <w:basedOn w:val="DefaultParagraphFont"/>
    <w:link w:val="Footer"/>
    <w:uiPriority w:val="99"/>
    <w:rsid w:val="00965082"/>
    <w:rPr>
      <w:rFonts w:ascii="Times New Roman" w:eastAsia="Times New Roman" w:hAnsi="Times New Roman" w:cs="Times New Roman"/>
      <w:sz w:val="20"/>
      <w:szCs w:val="20"/>
    </w:rPr>
  </w:style>
  <w:style w:type="character" w:styleId="Hyperlink">
    <w:name w:val="Hyperlink"/>
    <w:uiPriority w:val="99"/>
    <w:unhideWhenUsed/>
    <w:rsid w:val="00965082"/>
    <w:rPr>
      <w:color w:val="0000FF"/>
      <w:u w:val="single"/>
    </w:rPr>
  </w:style>
  <w:style w:type="paragraph" w:styleId="FootnoteText">
    <w:name w:val="footnote text"/>
    <w:basedOn w:val="Normal"/>
    <w:link w:val="FootnoteTextChar"/>
    <w:uiPriority w:val="99"/>
    <w:semiHidden/>
    <w:unhideWhenUsed/>
    <w:rsid w:val="00965082"/>
  </w:style>
  <w:style w:type="character" w:customStyle="1" w:styleId="FootnoteTextChar">
    <w:name w:val="Footnote Text Char"/>
    <w:basedOn w:val="DefaultParagraphFont"/>
    <w:link w:val="FootnoteText"/>
    <w:uiPriority w:val="99"/>
    <w:semiHidden/>
    <w:rsid w:val="00965082"/>
    <w:rPr>
      <w:rFonts w:ascii="Times New Roman" w:eastAsia="Times New Roman" w:hAnsi="Times New Roman" w:cs="Times New Roman"/>
      <w:sz w:val="20"/>
      <w:szCs w:val="20"/>
    </w:rPr>
  </w:style>
  <w:style w:type="character" w:styleId="FootnoteReference">
    <w:name w:val="footnote reference"/>
    <w:uiPriority w:val="99"/>
    <w:semiHidden/>
    <w:unhideWhenUsed/>
    <w:rsid w:val="00965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c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no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74B4-FF1B-4E18-8B45-738EA60D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Baldock, Matthew</dc:creator>
  <cp:keywords/>
  <dc:description/>
  <cp:lastModifiedBy>Baldock, Matthew</cp:lastModifiedBy>
  <cp:revision>135</cp:revision>
  <dcterms:created xsi:type="dcterms:W3CDTF">2022-02-03T16:46:00Z</dcterms:created>
  <dcterms:modified xsi:type="dcterms:W3CDTF">2022-02-11T00:06:00Z</dcterms:modified>
</cp:coreProperties>
</file>